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21da646e34b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2:095.</w:t>
      </w:r>
      <w:r>
        <w:t xml:space="preserve"> </w:t>
      </w:r>
      <w:r>
        <w:t xml:space="preserve">Importation of cervid carcasses and parts.</w:t>
      </w:r>
    </w:p>
    <w:p>
      <w:pPr>
        <w:pStyle w:val="kar_markup_metadata"/>
      </w:pPr>
      <w:r>
        <w:t xml:space="preserve">RELATES TO: </w:t>
      </w:r>
      <w:r>
        <w:t xml:space="preserve">KRS 150.180, 150.280, 150.290</w:t>
      </w:r>
    </w:p>
    <w:p>
      <w:pPr>
        <w:pStyle w:val="kar_markup_metadata"/>
      </w:pPr>
      <w:r>
        <w:t xml:space="preserve">STATUTORY AUTHORITY: </w:t>
      </w:r>
      <w:r>
        <w:t xml:space="preserve">KRS 150.025(1)(c), 150.720(2)</w:t>
      </w:r>
    </w:p>
    <w:p>
      <w:pPr>
        <w:pStyle w:val="kar_markup_metadata"/>
      </w:pPr>
      <w:r>
        <w:t xml:space="preserve">NECESSITY, FUNCTION, AND CONFORMITY: </w:t>
      </w:r>
      <w:r>
        <w:t xml:space="preserve">KRS 150.025(1)(c) authorizes the department to promulgate administrative regulations governing the buying, selling, or transporting of wildlife. KRS 150.720(2) authorizes the department and the Department of Agriculture to hold a person responsible for all costs incurred in the investigation, response, and eradication of a disease if the person imports a diseased animal into the Commonwealth. This administrative regulation establishes procedures for the importation and possession of cervid carcasses or carcass part.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"Cervid" means a member of the family Cervidae.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"Clean" means having no meat matter or tissue attached to the carcass part.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"Import" means to transport a cervid carcass or carcass part into Kentucky.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Importation.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person shall not import a cervid carcass or carcass part that has any part of the spinal column or head;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person importing a legally taken cervid carcass or carcass part may possess the items listed in paragraphs (a) through (f) of this subsection.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Antlers;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Antlers that are attached to a clean skull plate;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 clean skull;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Clean upper canine teeth;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A finished taxidermy product;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The hide; or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Quartered or deboned meat.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licensed taxidermist or deer processor who accepts a cervid head with an intact skull, spinal column, or spinal column part originating from another state or country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Contact the law enforcement division of the department within forty-eight (48) hours after receiving the cervid head, spinal column, or spinal column part;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Provide to the department the hunter's: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Name; and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Address;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Transfer all spinal column parts and the skull with the intact brain to the department once the skull plate has been removed.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(29 Ky.R. 3001; eff. 8-13-2003; 37 Ky.R. 2682; eff. 8-4-2011; 42 Ky.R. 2819; eff. 7-19-2016; 45 Ky.R. 2432; eff. 5-3-2019.)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3f847de03f4895" /><Relationship Type="http://schemas.openxmlformats.org/officeDocument/2006/relationships/settings" Target="/word/settings.xml" Id="R822bf3a9a3ff4f2b" /></Relationships>
</file>