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496d1048144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2:025.</w:t>
      </w:r>
      <w:r>
        <w:t xml:space="preserve"> </w:t>
      </w:r>
      <w:r>
        <w:t xml:space="preserve">College preparatory education.</w:t>
      </w:r>
    </w:p>
    <w:p>
      <w:pPr>
        <w:pStyle w:val="kar_markup_metadata"/>
      </w:pPr>
      <w:r>
        <w:t xml:space="preserve">RELATES TO: </w:t>
      </w:r>
      <w:r>
        <w:t xml:space="preserve">KRS 164.001, 164.002, 164.098</w:t>
      </w:r>
    </w:p>
    <w:p>
      <w:pPr>
        <w:pStyle w:val="kar_markup_metadata"/>
      </w:pPr>
      <w:r>
        <w:t xml:space="preserve">STATUTORY AUTHORITY: </w:t>
      </w:r>
      <w:r>
        <w:t xml:space="preserve">KRS 164.020(29), 164.098(1)</w:t>
      </w:r>
    </w:p>
    <w:p>
      <w:pPr>
        <w:pStyle w:val="kar_markup_metadata"/>
      </w:pPr>
      <w:r>
        <w:t xml:space="preserve">NECESSITY, FUNCTION, AND CONFORMITY: </w:t>
      </w:r>
      <w:r>
        <w:t xml:space="preserve">KRS 164.098(1) requires the Council on Postsecondary Education to promulgate an administrative regulation requiring public postsecondary educational institutions, beginning with the 2003-2004 school year, to grant academic college credit toward graduation for students taking high school advanced placement courses and scoring at a certain level. This administrative regulation establishes the requirements for receiving college credit by students taking the high school advanced placement examination.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"Advanced placement" is defined by KRS 164.002(1).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"AP exam" or "College Board Advanced Placement Examination" is defined by KRS 164.002(3).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"Council" means the Council on Postsecondary Education as defined in KRS 164.011.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"Institution" means a public postsecondary educational institution listed in KRS 164.001(16).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College and University Academic Credit for AP Examination.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Effective with the 2003-04 academic year, an institution shall grant academic credit toward college graduation for a high school student who scores three (3) or higher on the AP exam.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institution shall develop, by January 1, 2003, a written policy to implement the requirement of subsection (1) of this section.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written policy shall specify whether the institution shall grant academic credit toward the requirements of a major, program, or degree and shall state: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What AP exams will be accepted toward academic credit toward a major, program or degree;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minimum acceptable score on the AP exam for granting the academic credit toward a major, program or degree.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written policy shall fully comply with subsection (1) of this section.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institution shall submit to the council, by January 1, 2003, the policy developed pursuant to this administrative regulation.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An institution shall publish and disseminate the policy developed in subsection (2) of this section in electronic and print form.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(29 Ky.R. 835; Am. 1238; eff. 11-12-2002; Crt eff. 2-6-2020.)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5935cde1ba43e6" /><Relationship Type="http://schemas.openxmlformats.org/officeDocument/2006/relationships/settings" Target="/word/settings.xml" Id="R28346cb750584c50" /></Relationships>
</file>