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faac746244d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21:060.</w:t>
      </w:r>
      <w:r>
        <w:t xml:space="preserve"> </w:t>
      </w:r>
      <w:r>
        <w:t xml:space="preserve">Swine Specific Provisions.</w:t>
      </w:r>
    </w:p>
    <w:p>
      <w:pPr>
        <w:pStyle w:val="kar_markup_metadata"/>
      </w:pPr>
      <w:r>
        <w:t xml:space="preserve">RELATES TO: </w:t>
      </w:r>
      <w:r>
        <w:t xml:space="preserve">KRS 257.196, 525.130</w:t>
      </w:r>
    </w:p>
    <w:p>
      <w:pPr>
        <w:pStyle w:val="kar_markup_metadata"/>
      </w:pPr>
      <w:r>
        <w:t xml:space="preserve">STATUTORY AUTHORITY: </w:t>
      </w:r>
      <w:r>
        <w:t xml:space="preserve">KRS 257.196</w:t>
      </w:r>
    </w:p>
    <w:p>
      <w:pPr>
        <w:pStyle w:val="kar_markup_metadata"/>
      </w:pPr>
      <w:r>
        <w:t xml:space="preserve">NECESSITY, FUNCTION, AND CONFORMITY: </w:t>
      </w:r>
      <w:r>
        <w:t xml:space="preserve">KRS 257.196 requires the Board of Agriculture to promulgate administrative regulations establishing on-farm livestock and poultry care standards recommended to it by the Kentucky Livestock Care Standards Commission. This administrative regulation establishes additional livestock standards and specifically authorized practices for swine.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provisions of 302 KAR 21:020 apply to on-farm livestock and poultry in Kentucky, except as provided by this administrative regulation. This administrative regulation adds additional standards and specifically authorized practices to 302 KAR 21:020 for swine.</w:t>
      </w:r>
    </w:p>
    <w:p>
      <w:pPr>
        <w:pStyle w:val="kar_section"/>
      </w:pPr>
      <w:r>
        <w:t xml:space="preserve">Section 2.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Additional Standards.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If being transported, swine shall be able to stand in their natural position without touching the top of the transport conveyance.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Body condition may be evaluated using the Pork Quality Assurance Guidelines.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Authorized Practices. The following shall be authorized practices: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Castration;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Needle teeth clipping;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Boar tusk removal;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Tail docking;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Identification using ear notching, tattooing, or ear tagging;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Environmentally controlled housing. Swine may be raised in environmentally controlled housing designed in a manner that minimizes the effects of adverse weather conditions;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Stalls, pens, or outdoor lots with shelters if used for gestating sows; and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Crates, pens, or outdoor huts if used for farrowing and lactating sows.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"Pork Quality Assurance Guidelines", 2013,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Department of Agriculture, 100 Fair Oaks, Frankfort, Kentucky 40601,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(40 Ky.R. 736; 1730; eff. 3-7-2014; Crt eff. 2-11-2021.)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34fc9a0dcd4635" /><Relationship Type="http://schemas.openxmlformats.org/officeDocument/2006/relationships/settings" Target="/word/settings.xml" Id="R2e81c69338934d6c" /></Relationships>
</file>