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786e2efeb47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5:310.</w:t>
      </w:r>
      <w:r>
        <w:t xml:space="preserve"> </w:t>
      </w:r>
      <w:r>
        <w:t xml:space="preserve">Surface water permit fees.</w:t>
      </w:r>
    </w:p>
    <w:p>
      <w:pPr>
        <w:pStyle w:val="kar_markup_metadata"/>
      </w:pPr>
      <w:r>
        <w:t xml:space="preserve">RELATES TO: </w:t>
      </w:r>
      <w:r>
        <w:t xml:space="preserve">KRS 224.01-010, 224.10-110, 224.16-050, 224.70-100, 224.70-110, 26 U.S.C. 501(c)(3), EO 2009-538</w:t>
      </w:r>
    </w:p>
    <w:p>
      <w:pPr>
        <w:pStyle w:val="kar_markup_metadata"/>
      </w:pPr>
      <w:r>
        <w:t xml:space="preserve">STATUTORY AUTHORITY: </w:t>
      </w:r>
      <w:r>
        <w:t xml:space="preserve">KRS 224.10-100, 224.10-230(3), 224.16-050, 224.70-120, 40 C.F.R. 122.28(b)(2), 33 U.S.C. 1323(a), EO 2009-538</w:t>
      </w:r>
    </w:p>
    <w:p>
      <w:pPr>
        <w:pStyle w:val="kar_markup_metadata"/>
      </w:pPr>
      <w:r>
        <w:t xml:space="preserve">NECESSITY, FUNCTION, AND CONFORMITY: </w:t>
      </w:r>
      <w:r>
        <w:t xml:space="preserve">KRS 224.10-230(3) authorizes the cabinet to amend, by administrative regulation, the discharge permit fees authorized by KRS 224.70-120. KRS 224.10-100(20) authorizes the cabinet to establish, by administrative regulation, a fee for the cost of processing an application for a permit. 40 C.F.R. 122.28(b)(2)(i) requires the cabinet to establish that a complete and timely filed notice of intent to be covered in accordance with general permit requirements, fulfills the requirements for a permit application. EO 2009-538, effective June 12, 2009, establishes the new Energy and Environment Cabinet. This administrative regulation establishes fees for reviewing surface water permits.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Individual Permit Fees. The fee for review of an individual permit to discharge pollutants into waters of the Commonwealth shall be as established in Table 1 in this section.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>
            <w:gridSpan w:val="2"/>
          </w:tcPr>
          <w:p>
            <w:pPr>
              <w:pStyle w:val="kar_table_cell"/>
            </w:pPr>
            <w:r>
              <w:t xml:space="preserve">Table 1: Individual Permit Fees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Major Industry</w:t>
            </w:r>
          </w:p>
        </w:tc>
        <w:tc>
          <w:tcPr/>
          <w:p>
            <w:pPr>
              <w:pStyle w:val="kar_table_cell"/>
            </w:pPr>
            <w:r>
              <w:t xml:space="preserve">$7,000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Minor Industry</w:t>
            </w:r>
          </w:p>
        </w:tc>
        <w:tc>
          <w:tcPr/>
          <w:p>
            <w:pPr>
              <w:pStyle w:val="kar_table_cell"/>
            </w:pPr>
            <w:r>
              <w:t xml:space="preserve">$4,500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Nonprocess Industry</w:t>
            </w:r>
          </w:p>
        </w:tc>
        <w:tc>
          <w:tcPr/>
          <w:p>
            <w:pPr>
              <w:pStyle w:val="kar_table_cell"/>
            </w:pPr>
            <w:r>
              <w:t xml:space="preserve">$2,200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Large, Non-publicly-owned Treatment Works</w:t>
            </w:r>
          </w:p>
        </w:tc>
        <w:tc>
          <w:tcPr/>
          <w:p>
            <w:pPr>
              <w:pStyle w:val="kar_table_cell"/>
            </w:pPr>
            <w:r>
              <w:t xml:space="preserve">$3,700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Intermediate, Non-publicly-owned Treatment Works</w:t>
            </w:r>
          </w:p>
        </w:tc>
        <w:tc>
          <w:tcPr/>
          <w:p>
            <w:pPr>
              <w:pStyle w:val="kar_table_cell"/>
            </w:pPr>
            <w:r>
              <w:t xml:space="preserve">$3,200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Small, Non-publicly-owned Treatment Works</w:t>
            </w:r>
          </w:p>
        </w:tc>
        <w:tc>
          <w:tcPr/>
          <w:p>
            <w:pPr>
              <w:pStyle w:val="kar_table_cell"/>
            </w:pPr>
            <w:r>
              <w:t xml:space="preserve">$2,200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Agriculture (CAFO)</w:t>
            </w:r>
          </w:p>
        </w:tc>
        <w:tc>
          <w:tcPr/>
          <w:p>
            <w:pPr>
              <w:pStyle w:val="kar_table_cell"/>
            </w:pPr>
            <w:r>
              <w:t xml:space="preserve">$1,200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Surface Mining Operation</w:t>
            </w:r>
          </w:p>
        </w:tc>
        <w:tc>
          <w:tcPr/>
          <w:p>
            <w:pPr>
              <w:pStyle w:val="kar_table_cell"/>
            </w:pPr>
            <w:r>
              <w:t xml:space="preserve">$3,300</w:t>
            </w:r>
          </w:p>
        </w:tc>
      </w:tr>
    </w:tbl>
    <w:p>
      <w:pPr>
        <w:pStyle w:val="kar_section"/>
      </w:pPr>
      <w:r>
        <w:t xml:space="preserve">Section 2.</w:t>
      </w:r>
      <w:r>
        <w:t xml:space="preserve"> </w:t>
      </w:r>
      <w:r>
        <w:t xml:space="preserve">General Permit Fees. The fee for review of a general permit notice of intent to discharge pollutants into waters of the Commonwealth shall be as established in Table 2 of this section.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>
            <w:gridSpan w:val="2"/>
          </w:tcPr>
          <w:p>
            <w:pPr>
              <w:pStyle w:val="kar_table_cell"/>
            </w:pPr>
            <w:r>
              <w:t xml:space="preserve">Table 2: General Permit Fees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Coal Mining</w:t>
            </w:r>
          </w:p>
        </w:tc>
        <w:tc>
          <w:tcPr/>
          <w:p>
            <w:pPr>
              <w:pStyle w:val="kar_table_cell"/>
            </w:pPr>
            <w:r>
              <w:t xml:space="preserve">$1,300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Non-Coal Mining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Transportation Facility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Drinking Water Treatment Plant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Groundwater Remediation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Storm Water Construction 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CAFO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Storm Water Other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</w:tbl>
    <w:p>
      <w:pPr>
        <w:pStyle w:val="kar_section"/>
      </w:pPr>
      <w:r>
        <w:t xml:space="preserve">Section 3.</w:t>
      </w:r>
      <w:r>
        <w:t xml:space="preserve"> </w:t>
      </w:r>
      <w:r>
        <w:t xml:space="preserve">Kentucky No Discharge Operational Permit (KNDOP) Fees. The fee for review of a KNDOP shall be as established in Table 3 of this section.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>
            <w:gridSpan w:val="2"/>
          </w:tcPr>
          <w:p>
            <w:pPr>
              <w:pStyle w:val="kar_table_cell"/>
            </w:pPr>
            <w:r>
              <w:t xml:space="preserve">Table 3: KNDOP Fees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Large Animal Feeding Operation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Medium Animal Feeding Operation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Small Animal Feeding Operation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Industrial</w:t>
            </w:r>
          </w:p>
        </w:tc>
        <w:tc>
          <w:tcPr/>
          <w:p>
            <w:pPr>
              <w:pStyle w:val="kar_table_cell"/>
            </w:pPr>
            <w:r>
              <w:t xml:space="preserve">$1,200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Sanitary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</w:tbl>
    <w:p>
      <w:pPr>
        <w:pStyle w:val="kar_section"/>
      </w:pPr>
      <w:r>
        <w:t xml:space="preserve">Section 4.</w:t>
      </w:r>
      <w:r>
        <w:t xml:space="preserve"> </w:t>
      </w:r>
      <w:r>
        <w:t xml:space="preserve">Multiple Categories. The cabinet shall impose the single maximum fee if a discharge falls into multiple categories.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Short Term Permits. If the cabinet issues a permit that is effective for less than five (5) years, the fee assessed pursuant to this administrative regulation shall be adjusted proportionately to the effective term of the permit.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Publicly Owned Facilities. A publicly owned facility shall be exempt from the fees established in this administrative regulation pursuant to KRS 224.10-100(20).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Nonprofit Organizations.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qualifying nonprofit organization shall be charged the fee established by KRS 224.16-050(5).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nonprofit organization requesting a reduced fee pursuant to KRS 224.16-050(5) shall submit proof of Internal Revenue Code 26 U.S.C. 501(c)(3) status with the permit application.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nonprofit organization that does not qualify for the fee established in KRS 224.16-050(5) shall be charged the applicable fee established in Sections 1 through 5 of this administrative regulation.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Payment.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Check or money order shall be made payable to the Kentucky State Treasurer.</w:t>
      </w:r>
    </w:p>
    <w:p>
      <w:pPr>
        <w:pStyle w:val="kar_subsection"/>
      </w:pPr>
      <w:r>
        <w:t xml:space="preserve">(2)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 shall submit with the application a filing fee equal to twenty (20) percent of the permit fee.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application shall not be complete before the cabinet has received the filing fee.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cabinet shall retain the filing fee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cabinet denies the issuance, reissuance, or modification of the permit;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cabinet finds that the application is not complete pursuant to 401 KAR 5:075, Section 1(4), and returns the application as incomplete after the applicant has failed to submit a complete application within thirty (30) days following mailing of a notice of deficiency by the cabinet;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applicant withdraws the application.</w:t>
      </w:r>
    </w:p>
    <w:p>
      <w:pPr>
        <w:pStyle w:val="kar_subsection"/>
      </w:pPr>
      <w:r>
        <w:t xml:space="preserve">(4)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cabinet shall notify the applicant of the permit fee due after the cabinet has determined that the permit shall be issued, but before the permit shall be issued.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applicant shall submit the permit fee within thirty (30) days of the notification required by paragraph (a) of this subsection.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cabinet shall not issue a permit before receipt of the applicable permit fee.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(36 Ky.R. 486; 822; eff. 11-17-2009; Crt eff. 5-11-2018.)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9d52da3f114b85" /><Relationship Type="http://schemas.openxmlformats.org/officeDocument/2006/relationships/settings" Target="/word/settings.xml" Id="R80a9fe789cd64d04" /></Relationships>
</file>