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d2c4694404b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2:150.</w:t>
      </w:r>
      <w:r>
        <w:t xml:space="preserve"> </w:t>
      </w:r>
      <w:r>
        <w:t xml:space="preserve">Probationary certificate for teachers of engineering and technology education.</w:t>
      </w:r>
    </w:p>
    <w:p>
      <w:pPr>
        <w:pStyle w:val="kar_markup_metadata"/>
      </w:pPr>
      <w:r>
        <w:t xml:space="preserve">RELATES TO: </w:t>
      </w:r>
      <w:r>
        <w:t xml:space="preserve">KRS 161.020, 161.028(1)(a), (c), 161.030</w:t>
      </w:r>
    </w:p>
    <w:p>
      <w:pPr>
        <w:pStyle w:val="kar_markup_metadata"/>
      </w:pPr>
      <w:r>
        <w:t xml:space="preserve">STATUTORY AUTHORITY: </w:t>
      </w:r>
      <w:r>
        <w:t xml:space="preserve">KRS 161.028(1)(a), (c), 161.030</w:t>
      </w:r>
    </w:p>
    <w:p>
      <w:pPr>
        <w:pStyle w:val="kar_markup_metadata"/>
      </w:pPr>
      <w:r>
        <w:t xml:space="preserve">NECESSITY, FUNCTION, AND CONFORMITY: </w:t>
      </w:r>
      <w:r>
        <w:t xml:space="preserve">KRS 161.020 and 161.030 require that a teacher and other professional school personnel hold a certificate of legal qualification for their respective positions to be issued upon completion of a program of preparation prescribed by the Education Professional Standards Board. Pursuant to KRS 161.028, a teacher education institution is required to be approved for offering the preparation program corresponding to a particular certificate on the basis of standards and procedures established by the Education Professional Standards Board. This administrative regulation establishes a plan for recruiting certified classroom teachers into positions for teachers of engineering and technology.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"Qualified teacher" means a teacher who holds certification as an engineering and technology teacher unless the superintendent of the employing school district has documented evidence that the teacher is unsuitable for appointment.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Requirements for a Probationary Certificate for Teachers of Engineering and Technology.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 qualified teacher is not available for the position of engineering and technology teacher as attested to by the local superintendent, the superintendent may request, by filing a Form CA-ET with the Education Professional Standards Board, that a one (1) year probationary certificate be issued as approved by the Office of Career and Technical Education to a teacher who: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Holds a valid classroom teaching certificate for teaching in the middle school or secondary school;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Has a cumulative grade point average of at least 2.5 on a 4.0 scale;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Has a grade point average of at least 3.0 on a 4.0 scale on the last sixty (60) hours of credit completed, including undergraduate and graduate coursework;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Meets the minimum standards for admission to an educator education preparation program at an approved institution of higher education;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Has enrolled in an educator preparation program approved pursuant to 16 KAR Chapter 5, for engineering and technology;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Documents 1,000 clock hours or six (6) months of full-time employment of work related experience or other exceptional life experience related to teaching engineering and technology.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Upon completion of all requirements established in subsection (1) of this section, the candidate shall be issued a probationary certificate for teachers of engineering and technology, valid for one (1) year.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Requirements for Renewal of a Probationary Certificate for Teachers of Engineering and Technology.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first renewal of the probationary certificate for teachers of engineering and technology shall be for one (1) year, based upon: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Evidence of employment by a participating district;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Completion of eighteen (18) clock hours of orientation and management training provided through the technology education new teacher institute, within the first six (6) weeks of employment;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Completion of at least six (6) semester hours toward the completion of the educator preparation program in which the applicant is enrolled;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Successful completion of the internship program required by KRS 161.030 and 16 KAR 7:010.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probationary certificate may be renewed a maximum of two (2) times and shall require at application, proof of the completion of at least six (6) hours of additional credit from the preapproved continuous curriculum plan.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Upon successful completion of all requirements for an approved teacher preparation program, including successful completion of all required assessments established in 16 KAR 6:010, a professional certificate for engineering and technology shall be issued valid for five (5) years.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Upon recommendation by the teacher education institution, teaching experience performed in a full-time position requiring certification for engineering and technology teachers shall be substituted for the student teaching requirement.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Form CA-ET, 08/15,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Education Professional Standards Board, 100 Airport Road, 3rd Floor,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2356; eff. 1-9-1997; Am. 24 Ky.R. 1950; 2374; eff. 5-18-1998; 26 Ky.R. 1037; 1416; eff. 1-18-2000; 28 Ky.R. 2070; 2343; eff. 5-16-2002; recodified from 704 KAR 20:475; 7-2-2002; 33 Ky.R. 830; 1270; eff. 12-1-2006; Am. 37 Ky.R. 1317; 1622; eff. 2-4-2011; 42 Ky.R. 799; 1448; eff. 12-4-2015; Expired 7 years after last effective date (KRS 13A.3102),12-4-2022..)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e8c04cceb4ddf" /><Relationship Type="http://schemas.openxmlformats.org/officeDocument/2006/relationships/settings" Target="/word/settings.xml" Id="R8919a8d9e7684334" /></Relationships>
</file>