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0eac7c85ff43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8:200.</w:t>
      </w:r>
      <w:r>
        <w:t xml:space="preserve"> </w:t>
      </w:r>
      <w:r>
        <w:t xml:space="preserve">Microbiological monitoring.</w:t>
      </w:r>
    </w:p>
    <w:p>
      <w:pPr>
        <w:pStyle w:val="kar_markup_metadata"/>
      </w:pPr>
      <w:r>
        <w:t xml:space="preserve">RELATES TO: </w:t>
      </w:r>
      <w:r>
        <w:t xml:space="preserve">KRS 224.10-110, 40 C.F.R. 141.21, 141.52, 141.63, 141.851 - 861</w:t>
      </w:r>
    </w:p>
    <w:p>
      <w:pPr>
        <w:pStyle w:val="kar_markup_metadata"/>
      </w:pPr>
      <w:r>
        <w:t xml:space="preserve">STATUTORY AUTHORITY: </w:t>
      </w:r>
      <w:r>
        <w:t xml:space="preserve">KRS 224.10-100(28), 224.10-110(2), 40 C.F.R. 141.21, 42 U.S.C. 300f-300j-26</w:t>
      </w:r>
    </w:p>
    <w:p>
      <w:pPr>
        <w:pStyle w:val="kar_markup_metadata"/>
      </w:pPr>
      <w:r>
        <w:t xml:space="preserve">NECESSITY, FUNCTION, AND CONFORMITY: </w:t>
      </w:r>
      <w:r>
        <w:t xml:space="preserve">KRS 224.10-110(2) requires the cabinet to enforce administrative regulations promulgated by the secretary for the regulation and control of the purification of water for public and semipublic use. This administrative regulation establishes a schedule and method for sampling drinking water to test for bacteriological contaminants, establishes maximum contaminant levels for bacteria, and establishes requirements if tests show maximum contaminant levels have been exceeded.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A "public water system" as defined by 40 C.F.R. 141.2", shall meet the requirements established in 40 C.F.R. 141.21, 141.52, and 141.63.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Beginning January 1, 2016, a public water system shall comply with the requirements established in 40 C.F.R. 141.851 through 141.861, except that a sample site plan required by 40 C.F.R. 141.853 shall be submitted to the cabinet no later than December 31, 2015. A semipublic water system shall take a minimum of one (1) total coliform bacteria sample each month the system is in operation.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Population served shall be determined by the appropriate method established in this section.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 "community water system", as defined by 40 C.F.R. 141.2, and a "semipublic water system", as defined by 401 KAR 8:010, shall: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Use the most recent decennial census count conducted by the United States Census Bureau;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Use the serviceable population established by the Water Resources Information System database located at http://wris.ky.gov/portal/sysdata;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Multiply the number of service connections by 2.69; or</w:t>
      </w:r>
    </w:p>
    <w:p>
      <w:pPr>
        <w:pStyle w:val="kar_paragraph"/>
      </w:pPr>
      <w:r>
        <w:t xml:space="preserve">(d)</w:t>
      </w:r>
      <w:r>
        <w:t xml:space="preserve"> </w:t>
      </w:r>
      <w:r>
        <w:t xml:space="preserve">Utilize a method mutually agreed upon by a community or semipublic water system and the cabinet.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 "non-transient non-community public water system", as defined by 40 C.F.R. 141.2, shall use the actual population served.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"transient non-community public water system", as defined by 40 C.F.R. 141.2, shall use the actual population served.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public water system shall provide the figure to the cabinet in its December Monthly Operating Report established in 401 KAR 8:020, Section 3(7), by the tenth day of the month following the determination.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 semipublic water system shall immediately notify the cabinet in writing if the population served calculation changes its classification from a semipublic water system to another classification.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(401 KAR 008:200. 17 Ky.R. 614; 1440; eff. 11-15-1990; 18 Ky.R. 1186; 1857; eff. 11-26-1991; 20 Ky.R. 3045; 21 Ky.R. 321; eff. 8-24-1994; 23 Ky.R. 2568; eff. 5-14-1997; 35 Ky.R. 1546; 2017; eff. 4-3-2009; 36 Ky.R. 2097-A; 2323; eff. 6-3-2010; 41 Ky.R. 316; 807; 1050; eff. 12-5-2014; TAm eff. 10-10-2017; Crt eff. 10-3-2018; Crt eff. 10-1-2025.)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94b50844494810" /><Relationship Type="http://schemas.openxmlformats.org/officeDocument/2006/relationships/settings" Target="/word/settings.xml" Id="R2014313f508c482f" /></Relationships>
</file>