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88c83c0fe24dea" /></Relationships>
</file>

<file path=word/document.xml><?xml version="1.0" encoding="utf-8"?>
<w:document xmlns:w="http://schemas.openxmlformats.org/wordprocessingml/2006/main">
  <w:body>
    <w:p>
      <w:pPr>
        <w:pStyle w:val="kar_citation"/>
      </w:pPr>
      <w:r>
        <w:t>401 KAR 8:300.</w:t>
      </w:r>
      <w:r>
        <w:t xml:space="preserve"> </w:t>
      </w:r>
      <w:r>
        <w:t xml:space="preserve">Lead and copper.</w:t>
      </w:r>
    </w:p>
    <w:p>
      <w:pPr>
        <w:pStyle w:val="kar_markup_metadata"/>
      </w:pPr>
      <w:r>
        <w:t xml:space="preserve">RELATES TO: </w:t>
      </w:r>
      <w:r>
        <w:t xml:space="preserve">40 C.F.R. 141.42, 141.43, 141.80-141.91, 141.154, 42 U.S.C. 300f-300j-26</w:t>
      </w:r>
    </w:p>
    <w:p>
      <w:pPr>
        <w:pStyle w:val="kar_markup_metadata"/>
      </w:pPr>
      <w:r>
        <w:t xml:space="preserve">STATUTORY AUTHORITY: </w:t>
      </w:r>
      <w:r>
        <w:t xml:space="preserve">KRS 224.10-100(28), 224.10-110(2), 40 C.F.R. 141.43, 141.80-141.91, 42 U.S.C. 300f-300j-26</w:t>
      </w:r>
    </w:p>
    <w:p>
      <w:pPr>
        <w:pStyle w:val="kar_markup_metadata"/>
      </w:pPr>
      <w:r>
        <w:t xml:space="preserve">NECESSITY, FUNCTION, AND CONFORMITY: </w:t>
      </w:r>
      <w:r>
        <w:t xml:space="preserve">KRS 224.10-100(28) and 224.10-110(2) require the cabinet to promulgate administrative regulations for the regulation and control of the purification of water for public and semipublic use. This administrative regulation limits lead in drinking water facilities and establishes standards for lead and copper in drinking water.</w:t>
      </w:r>
    </w:p>
    <w:p>
      <w:pPr>
        <w:pStyle w:val="kar_section"/>
      </w:pPr>
      <w:r>
        <w:t xml:space="preserve">Section 1.</w:t>
      </w:r>
      <w:r>
        <w:t xml:space="preserve"> </w:t>
      </w:r>
      <w:r>
        <w:t xml:space="preserve">A public water system shall meet the requirements for control of lead corrosivity and copper as established in:</w:t>
      </w:r>
    </w:p>
    <w:p>
      <w:pPr>
        <w:pStyle w:val="kar_subsection"/>
      </w:pPr>
      <w:r>
        <w:t xml:space="preserve">(1)</w:t>
      </w:r>
      <w:r>
        <w:t xml:space="preserve"> </w:t>
      </w:r>
      <w:r>
        <w:t xml:space="preserve">40 C.F.R. 141.42, 141.43, 141.80 through 141.91, and 141.154; and</w:t>
      </w:r>
    </w:p>
    <w:p>
      <w:pPr>
        <w:pStyle w:val="kar_subsection"/>
      </w:pPr>
      <w:r>
        <w:t xml:space="preserve">(2)</w:t>
      </w:r>
      <w:r>
        <w:t xml:space="preserve"> </w:t>
      </w:r>
      <w:r>
        <w:t xml:space="preserve">42 U.S.C. 300g-6.</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008:300. 17 Ky.R. 622; eff. 11-15-1990; 20 Ky.R. 3057; eff. 7-27-1994; 23 Ky.R. 2579; eff. 5-14-1997; 31 Ky.R. 194; 1124; eff. 1-4-2005; 35 Ky.R. 1557; 2025; eff. 4-3-2009; 36 Ky.R. 2100; 2324; eff. 6-3-2010; 41 Ky.R. 318; 1050; eff. 12-5-2014.; Crt eff. 10-3-2018; Crt to Am; filing deadline 4-1-2027.)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dd78a3020a4d86" /><Relationship Type="http://schemas.openxmlformats.org/officeDocument/2006/relationships/settings" Target="/word/settings.xml" Id="R4f78996a8b3046d0" /></Relationships>
</file>