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9bf7ab3dfa41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9:010.</w:t>
      </w:r>
      <w:r>
        <w:t xml:space="preserve"> </w:t>
      </w:r>
      <w:r>
        <w:t xml:space="preserve">Section 401 Individual Water Quality Certification public notice.</w:t>
      </w:r>
    </w:p>
    <w:p>
      <w:pPr>
        <w:pStyle w:val="kar_markup_metadata"/>
      </w:pPr>
      <w:r>
        <w:t xml:space="preserve">RELATES TO: </w:t>
      </w:r>
      <w:r>
        <w:t xml:space="preserve">KRS 224.01-010, 224.10-100, 224.16-050, 224.16-070, 350.060, 33 U.S.C. 1251-1387, EO 2008-507, 2008-531</w:t>
      </w:r>
    </w:p>
    <w:p>
      <w:pPr>
        <w:pStyle w:val="kar_markup_metadata"/>
      </w:pPr>
      <w:r>
        <w:t xml:space="preserve">STATUTORY AUTHORITY: </w:t>
      </w:r>
      <w:r>
        <w:t xml:space="preserve">KRS 224.16-050, 33 U.S.C. 1341</w:t>
      </w:r>
    </w:p>
    <w:p>
      <w:pPr>
        <w:pStyle w:val="kar_markup_metadata"/>
      </w:pPr>
      <w:r>
        <w:t xml:space="preserve">NECESSITY, FUNCTION, AND CONFORMITY: </w:t>
      </w:r>
      <w:r>
        <w:t xml:space="preserve">KRS 224.16-050 authorizes the cabinet to certify pursuant to 33 U.S.C. 1341 that applicants for a federal permit regarding the construction or operation of facilities, which may result in a discharge of dredged or fill material into the waters of the Commonwealth, as defined in KRS 224.01-010(33), shall comply with the applicable provisions of the Federal Water Pollution Control Act, 33 U.S.C. 1251-1387. This administrative regulation establishes the procedures for public notice of Section 401, Individual Water Quality Certifications. EO 2008-507 and 2008-531, effective June 16, 2008, abolish the Environmental and Public Protection Cabinet and establish the new Energy and Environment Cabinet. This administrative regulation is not more stringent than the federal counterpart.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Public Notice.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cabinet shall give public notice of receipt of a complete application for a Section 401 Individual Water Quality Certification.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complete application shall contain the information necessary to allow a meaningful review of the project based on its merits.</w:t>
      </w:r>
    </w:p>
    <w:p>
      <w:pPr>
        <w:pStyle w:val="kar_subparagraph"/>
      </w:pPr>
      <w:r>
        <w:t xml:space="preserve">1.</w:t>
      </w:r>
      <w:r>
        <w:t xml:space="preserve"> </w:t>
      </w:r>
      <w:r>
        <w:t xml:space="preserve">An applicant for a project relating to surface mining coal operations shall submit the Application for Water Quality Certification for Surface Coal Mining Activities.</w:t>
      </w:r>
    </w:p>
    <w:p>
      <w:pPr>
        <w:pStyle w:val="kar_subparagraph"/>
      </w:pPr>
      <w:r>
        <w:t xml:space="preserve">2.</w:t>
      </w:r>
      <w:r>
        <w:t xml:space="preserve"> </w:t>
      </w:r>
      <w:r>
        <w:t xml:space="preserve">All other applicants seeking certification shall submit the Application for Permit to Construct Across or Along a Stream and/or Water Quality Certification.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If an application is incomplete, a notice shall be sent to the applicant indicating the areas of the application that are deficient.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Section 401 Individual Water Quality Certification public notices may describe more than one (1) certification or action and may be a part of other public notices under the Federal Water Pollution Control Act, 33 U.S.C. 1251-1387.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Methods.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cabinet shall post public notices on its Web site, www.eec.ky.gov; and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cabinet shall give public notice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An applicant or person who has requested an electronic copy of Section 401 Individual Water Quality Certification public notices; and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An applicant or person who has requested to be notified by standard mail of Section 401 Individual Water Quality Certification public notices.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Content. A public notice shall contain at least the following information: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name and address of the applicant and, if different, the address or location of the activity regulated by the certification;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name, address, and telephone number of the applicant or applicant's representative to contact for further information;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 brief description of the comment procedures, including deadlines;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A brief description of the proposed activity and its purpose;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The location of the waters of the Commonwealth affected by the proposed activity; and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The location and availability of the application for public inspection.</w:t>
      </w:r>
    </w:p>
    <w:p>
      <w:pPr>
        <w:pStyle w:val="kar_section"/>
      </w:pPr>
      <w:r>
        <w:t xml:space="preserve">Section 4.</w:t>
      </w:r>
      <w:r>
        <w:t xml:space="preserve"> </w:t>
      </w:r>
      <w:r>
        <w:t xml:space="preserve">Public Comment.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public comment period shall expire thirty (30) days from the date of the public notice.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cabinet shall consider comments prior to making a final determination on a certification.</w:t>
      </w:r>
    </w:p>
    <w:p>
      <w:pPr>
        <w:pStyle w:val="kar_section"/>
      </w:pPr>
      <w:r>
        <w:t xml:space="preserve">Section 5.</w:t>
      </w:r>
      <w:r>
        <w:t xml:space="preserve"> </w:t>
      </w:r>
      <w:r>
        <w:t xml:space="preserve">Incorporation by Reference.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following material is incorporated by reference: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"Application for Water Quality Certification for Surface Coal Mining Activities", Form DNR-WQC, July 2008.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"Application for Permit to Construct Across or Along a Stream and/or Water Quality Certification", July 2008.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This material may be inspected, copied, or obtained, subject to applicable copyright law, at the Division of Water, 300 Sower Boulevard, Frankfort, Kentucky 40601, Monday through Friday, 8 a.m. to 4:30 p.m.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(401 KAR 009:010. 34 Ky.R. 2369; 35 Ky.R. 34; 259; eff. 8-21-2008; TAm eff. 7-8-2016; Crt eff. 10-4-2018; Crt to Am, filing deadline 2-28-2027.)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c1a479ad3f43ad" /><Relationship Type="http://schemas.openxmlformats.org/officeDocument/2006/relationships/settings" Target="/word/settings.xml" Id="R93eda3ec41bd45ba" /></Relationships>
</file>