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95bfaf93342a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45:250.</w:t>
      </w:r>
      <w:r>
        <w:t xml:space="preserve"> </w:t>
      </w:r>
      <w:r>
        <w:t xml:space="preserve">Special waste permit fees.</w:t>
      </w:r>
    </w:p>
    <w:p>
      <w:pPr>
        <w:pStyle w:val="kar_markup_metadata"/>
      </w:pPr>
      <w:r>
        <w:t xml:space="preserve">RELATES TO: </w:t>
      </w:r>
      <w:r>
        <w:t xml:space="preserve">KRS 224.40</w:t>
      </w:r>
    </w:p>
    <w:p>
      <w:pPr>
        <w:pStyle w:val="kar_markup_metadata"/>
      </w:pPr>
      <w:r>
        <w:t xml:space="preserve">STATUTORY AUTHORITY: </w:t>
      </w:r>
      <w:r>
        <w:t xml:space="preserve">KRS 224.10-100, 224.40-305, 224.50-760</w:t>
      </w:r>
    </w:p>
    <w:p>
      <w:pPr>
        <w:pStyle w:val="kar_markup_metadata"/>
      </w:pPr>
      <w:r>
        <w:t xml:space="preserve">NECESSITY, FUNCTION, AND CONFORMITY: </w:t>
      </w:r>
      <w:r>
        <w:t xml:space="preserve">KRS 224.10-100(20) states that the cabinet may provide by administrative regulation for a reasonable schedule of fees for the cost of processing applications for permits, exemptions, and partial exemptions. This chapter establishes standards for special waste sites or facilities. This administrative regulation establishes a fee schedule for the issuance and modification of special waste site or facility permits.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Applicability.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provisions of this administrative regulation shall apply to the owner or operator of each special waste site or facility required to apply for a permit, permit renewal, permit modification, or permit transfer, except publicly-owned facilities.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provisions of this administrative regulation shall apply to special waste site or facility permit applications submitted on or after June 24, 1992.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Filing Fees.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Each permit application shall be accompanied by an appropriate filing fee determined as follows:</w:t>
      </w:r>
    </w:p>
    <w:tbl>
      <w:tblPr>
        <w:tblStyle w:val="kar_table"/>
        <w:tblW w:w="0" w:type="auto"/>
      </w:tblPr>
      <w:tblGrid>
        <w:gridCol w:w="1"/>
        <w:gridCol w:w="1"/>
      </w:tblGrid>
      <w:tr>
        <w:tc>
          <w:tcPr/>
          <w:p>
            <w:pPr>
              <w:pStyle w:val="kar_table_cell"/>
              <w:jc w:val="center"/>
            </w:pPr>
            <w:r>
              <w:t xml:space="preserve">Application</w:t>
            </w:r>
          </w:p>
        </w:tc>
        <w:tc>
          <w:tcPr/>
          <w:p>
            <w:pPr>
              <w:pStyle w:val="kar_table_cell"/>
              <w:jc w:val="center"/>
            </w:pPr>
            <w:r>
              <w:t xml:space="preserve">Fee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(a) Notice of intent</w:t>
            </w:r>
          </w:p>
        </w:tc>
        <w:tc>
          <w:tcPr/>
          <w:p>
            <w:pPr>
              <w:pStyle w:val="kar_table_cell"/>
              <w:jc w:val="center"/>
            </w:pPr>
            <w:r>
              <w:t xml:space="preserve">$500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(b) Request for alternate specification to design criteria or variance from regulatory requirements</w:t>
            </w:r>
          </w:p>
        </w:tc>
        <w:tc>
          <w:tcPr/>
          <w:p>
            <w:pPr>
              <w:pStyle w:val="kar_table_cell"/>
              <w:jc w:val="center"/>
            </w:pPr>
            <w:r>
              <w:t xml:space="preserve">$500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(c) Formal application and modifications to expand the facility horizontally</w:t>
            </w:r>
          </w:p>
        </w:tc>
        <w:tc>
          <w:tcPr/>
          <w:p>
            <w:pPr>
              <w:pStyle w:val="kar_table_cell"/>
              <w:jc w:val="center"/>
            </w:pPr>
            <w:r>
              <w:t xml:space="preserve">$5,000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(d) Construction/operation permit</w:t>
            </w:r>
          </w:p>
        </w:tc>
        <w:tc>
          <w:tcPr/>
          <w:p>
            <w:pPr>
              <w:pStyle w:val="kar_table_cell"/>
              <w:jc w:val="center"/>
            </w:pPr>
            <w:r>
              <w:t xml:space="preserve">$500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(e) Renewal</w:t>
            </w:r>
          </w:p>
        </w:tc>
        <w:tc>
          <w:tcPr/>
          <w:p>
            <w:pPr>
              <w:pStyle w:val="kar_table_cell"/>
              <w:jc w:val="center"/>
            </w:pPr>
            <w:r>
              <w:t xml:space="preserve">$500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(f) Permit modifications other than horizontal expansions:</w:t>
            </w:r>
          </w:p>
        </w:tc>
        <w:tc>
          <w:tcPr/>
          <w:p>
            <w:pPr>
              <w:pStyle w:val="kar_table_cell"/>
              <w:jc w:val="center"/>
            </w:pPr>
            <w:r>
              <w:t xml:space="preserve"> 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1. Vertical expansions</w:t>
            </w:r>
          </w:p>
        </w:tc>
        <w:tc>
          <w:tcPr/>
          <w:p>
            <w:pPr>
              <w:pStyle w:val="kar_table_cell"/>
              <w:jc w:val="center"/>
            </w:pPr>
            <w:r>
              <w:t xml:space="preserve">$1,000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2. Modification to closure plan</w:t>
            </w:r>
          </w:p>
        </w:tc>
        <w:tc>
          <w:tcPr/>
          <w:p>
            <w:pPr>
              <w:pStyle w:val="kar_table_cell"/>
              <w:jc w:val="center"/>
            </w:pPr>
            <w:r>
              <w:t xml:space="preserve">$500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3. Receipt of waste from new source</w:t>
            </w:r>
          </w:p>
        </w:tc>
        <w:tc>
          <w:tcPr/>
          <w:p>
            <w:pPr>
              <w:pStyle w:val="kar_table_cell"/>
              <w:jc w:val="center"/>
            </w:pPr>
            <w:r>
              <w:t xml:space="preserve">$50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4. Change of ownership or transfer of an existing permitted facility</w:t>
            </w:r>
          </w:p>
        </w:tc>
        <w:tc>
          <w:tcPr/>
          <w:p>
            <w:pPr>
              <w:pStyle w:val="kar_table_cell"/>
              <w:jc w:val="center"/>
            </w:pPr>
            <w:r>
              <w:t xml:space="preserve">$500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5. Cabinet mandated increase in financial assurance</w:t>
            </w:r>
          </w:p>
        </w:tc>
        <w:tc>
          <w:tcPr/>
          <w:p>
            <w:pPr>
              <w:pStyle w:val="kar_table_cell"/>
              <w:jc w:val="center"/>
            </w:pPr>
            <w:r>
              <w:t xml:space="preserve">$0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6. Closure of a facility that is not under a current special waste facility permit</w:t>
            </w:r>
          </w:p>
        </w:tc>
        <w:tc>
          <w:tcPr/>
          <w:p>
            <w:pPr>
              <w:pStyle w:val="kar_table_cell"/>
              <w:jc w:val="center"/>
            </w:pPr>
            <w:r>
              <w:t xml:space="preserve">$1,000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7. Modifications not otherwise specified</w:t>
            </w:r>
          </w:p>
        </w:tc>
        <w:tc>
          <w:tcPr/>
          <w:p>
            <w:pPr>
              <w:pStyle w:val="kar_table_cell"/>
              <w:jc w:val="center"/>
            </w:pPr>
            <w:r>
              <w:t xml:space="preserve">$500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(g) Emergency permit</w:t>
            </w:r>
          </w:p>
        </w:tc>
        <w:tc>
          <w:tcPr/>
          <w:p>
            <w:pPr>
              <w:pStyle w:val="kar_table_cell"/>
              <w:jc w:val="center"/>
            </w:pPr>
            <w:r>
              <w:t xml:space="preserve">$500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(h) Research, development and demonstration permit</w:t>
            </w:r>
          </w:p>
        </w:tc>
        <w:tc>
          <w:tcPr/>
          <w:p>
            <w:pPr>
              <w:pStyle w:val="kar_table_cell"/>
              <w:jc w:val="center"/>
            </w:pPr>
            <w:r>
              <w:t xml:space="preserve">$2,500</w:t>
            </w:r>
          </w:p>
        </w:tc>
      </w:tr>
    </w:tbl>
    <w:p>
      <w:pPr>
        <w:pStyle w:val="kar_subsection"/>
      </w:pPr>
      <w:r>
        <w:t xml:space="preserve">(2)</w:t>
      </w:r>
      <w:r>
        <w:t xml:space="preserve"> </w:t>
      </w:r>
      <w:r>
        <w:t xml:space="preserve">A filing fee shall be in the form of a check or money order and made payable to the Kentucky State Treasurer. Filing fees shall not be refundable.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(18 Ky.R. 3117; eff. 6-24-1992; Crt eff. 9-5-2018; TAm eff. 10-15-2018.)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0fd3f307e444c2" /><Relationship Type="http://schemas.openxmlformats.org/officeDocument/2006/relationships/settings" Target="/word/settings.xml" Id="R6014e2e376e14df7" /></Relationships>
</file>