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76d3f50b43461d" /></Relationships>
</file>

<file path=word/document.xml><?xml version="1.0" encoding="utf-8"?>
<w:document xmlns:w="http://schemas.openxmlformats.org/wordprocessingml/2006/main">
  <w:body>
    <w:p>
      <w:pPr>
        <w:pStyle w:val="kar_citation"/>
      </w:pPr>
      <w:r>
        <w:t>16 KAR 4:070.</w:t>
      </w:r>
      <w:r>
        <w:t xml:space="preserve"> </w:t>
      </w:r>
      <w:r>
        <w:t xml:space="preserve">Foreign teachers serving under the teacher exchange program.</w:t>
      </w:r>
    </w:p>
    <w:p>
      <w:pPr>
        <w:pStyle w:val="kar_markup_metadata"/>
      </w:pPr>
      <w:r>
        <w:t xml:space="preserve">RELATES TO: </w:t>
      </w:r>
      <w:r>
        <w:t xml:space="preserve">KRS 161.020, 161.025, 161.030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161.020, 161.025, and 161.030 require that teachers and other professional school personnel hold certificates of legal qualifications for their respective positions to be issued upon completion of programs of preparation prescribed by the Kentucky Council on Teacher Education and Certification and approved by the State Board of Education. This administrative regulation authorizes the Superintendent of Public Instruction to issue appropriate certification to foreign teachers serving in the Kentucky schools under the teacher exchange program.</w:t>
      </w:r>
    </w:p>
    <w:p>
      <w:pPr>
        <w:pStyle w:val="kar_section"/>
      </w:pPr>
      <w:r>
        <w:t xml:space="preserve">Section 1.</w:t>
      </w:r>
      <w:r>
        <w:t xml:space="preserve"> </w:t>
      </w:r>
      <w:r>
        <w:t xml:space="preserve">The Superintendent of Public Instruction shall issue appropriate certification for a one (1) year period to foreign teachers serving in the Kentucky schools under the teacher exchange program as authorized by the federal statutes enacted by the Congress of the United States provided such teachers hold the credentials or other legal authorization for teaching in their native countries and have had at least one (1) year of teaching experience.</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792; 4 Ky.R. 104; eff. 8-3-77; Recodified from 704 KAR 20:212, 7-2-2002;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cd3e058f4471a" /><Relationship Type="http://schemas.openxmlformats.org/officeDocument/2006/relationships/settings" Target="/word/settings.xml" Id="R2379e51df2b44bc1" /></Relationships>
</file>