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1aa70aaae84960" /></Relationships>
</file>

<file path=word/document.xml><?xml version="1.0" encoding="utf-8"?>
<w:document xmlns:w="http://schemas.openxmlformats.org/wordprocessingml/2006/main">
  <w:body>
    <w:p>
      <w:pPr>
        <w:pStyle w:val="kar_citation"/>
      </w:pPr>
      <w:r>
        <w:t>16 KAR 4:090.</w:t>
      </w:r>
      <w:r>
        <w:t xml:space="preserve"> </w:t>
      </w:r>
      <w:r>
        <w:t xml:space="preserve">Reissuance.</w:t>
      </w:r>
    </w:p>
    <w:p>
      <w:pPr>
        <w:pStyle w:val="kar_markup_metadata"/>
      </w:pPr>
      <w:r>
        <w:t xml:space="preserve">RELATES TO: </w:t>
      </w:r>
      <w:r>
        <w:t xml:space="preserve">KRS 161.020, 161.027, 161.028, 161.030, 161.046, 161.048, 161.053</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161.028, and 161.030 require the Education Professional Standards Board to promulgate administrative regulations establishing requirements and standards for obtaining and maintaining certification and for approval of an education preparation provider. This administrative regulation establishes the reissuance requirements for a Kentucky certification that has lapsed.</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If a certificate has lapsed as a result of the applicant's failure to meet the renewal requirements, the certificate shall be reissued at a later date for a one (1) year period if the applicant completes at least six (6) semester hours of graduate credit applicable toward the planned fifth-year program.</w:t>
      </w:r>
    </w:p>
    <w:p>
      <w:pPr>
        <w:pStyle w:val="kar_paragraph"/>
      </w:pPr>
      <w:r>
        <w:t xml:space="preserve">(b)</w:t>
      </w:r>
      <w:r>
        <w:t xml:space="preserve"> </w:t>
      </w:r>
      <w:r>
        <w:t xml:space="preserve">The applicant shall complete an additional nine (9) semester hours of credit applicable toward the planned fifth-year program by September 1 of the year of expiration to qualify for extending the certificate for the remaining four (4) years of the first five (5) year renewal period.</w:t>
      </w:r>
    </w:p>
    <w:p>
      <w:pPr>
        <w:pStyle w:val="kar_paragraph"/>
      </w:pPr>
      <w:r>
        <w:t xml:space="preserve">(c)</w:t>
      </w:r>
      <w:r>
        <w:t xml:space="preserve"> </w:t>
      </w:r>
      <w:r>
        <w:t xml:space="preserve">At the end of the renewal period established in paragraph (b) of this subsection, the applicant shall have completed a planned fifth-year program that meets the requirements of 16 KAR 8:020 to qualify for the next five (5) year renewal. After the renewal period established in this paragraph, the regular renewal schedule of three (3) years of successful teaching experience with evidence of continuing growth documented in a portfolio as required by 16 KAR 4:060 or six (6) semester hours of additional graduate credit each five (5) year period shall apply.</w:t>
      </w:r>
    </w:p>
    <w:p>
      <w:pPr>
        <w:pStyle w:val="kar_subsection"/>
      </w:pPr>
      <w:r>
        <w:t xml:space="preserve">(2)</w:t>
      </w:r>
      <w:r>
        <w:t xml:space="preserve"> </w:t>
      </w:r>
      <w:r>
        <w:t xml:space="preserve">An applicant who has already completed the planned fifth-year program and whose certificate lapses shall have the certificate reissued after completing another six (6) semester hours of graduate credit. The certificate shall be issued for a five (5) year period and subject to the renewal schedule of three (3) years of successful teaching experience or completion by September 1 of the year of expiration of at least six (6) semester hours of additional credit for each five (5) year period.</w:t>
      </w:r>
    </w:p>
    <w:p>
      <w:pPr>
        <w:pStyle w:val="kar_subsection"/>
      </w:pPr>
      <w:r>
        <w:t xml:space="preserve">(3)</w:t>
      </w:r>
      <w:r>
        <w:t xml:space="preserve"> </w:t>
      </w:r>
      <w:r>
        <w:t xml:space="preserve">Successful teaching experience shall be in a position directly corresponding to the type of certificate for which the application is being made, and employment shall be at least on a half-time basis.</w:t>
      </w:r>
    </w:p>
    <w:p>
      <w:pPr>
        <w:pStyle w:val="kar_paragraph"/>
      </w:pPr>
      <w:r>
        <w:t xml:space="preserve">(a)</w:t>
      </w:r>
      <w:r>
        <w:t xml:space="preserve"> </w:t>
      </w:r>
      <w:r>
        <w:t xml:space="preserve">A full year of experience shall include at least 140 days of employment performed within the academic year.</w:t>
      </w:r>
    </w:p>
    <w:p>
      <w:pPr>
        <w:pStyle w:val="kar_paragraph"/>
      </w:pPr>
      <w:r>
        <w:t xml:space="preserve">(b)</w:t>
      </w:r>
      <w:r>
        <w:t xml:space="preserve"> </w:t>
      </w:r>
      <w:r>
        <w:t xml:space="preserve">A half year of experience shall include at least seventy (70) days of employment performed within an academic semester.</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1331, 1715; eff. 5-5-2017; Cert to Am, filing deadline 11-3-2025.)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57396c4d0c44de" /><Relationship Type="http://schemas.openxmlformats.org/officeDocument/2006/relationships/settings" Target="/word/settings.xml" Id="R322ef6233c434513" /></Relationships>
</file>