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8062cc78d54b04" /></Relationships>
</file>

<file path=word/document.xml><?xml version="1.0" encoding="utf-8"?>
<w:document xmlns:w="http://schemas.openxmlformats.org/wordprocessingml/2006/main">
  <w:body>
    <w:p>
      <w:pPr>
        <w:pStyle w:val="kar_citation"/>
      </w:pPr>
      <w:r>
        <w:t>401 KAR 50:020.</w:t>
      </w:r>
      <w:r>
        <w:t xml:space="preserve"> </w:t>
      </w:r>
      <w:r>
        <w:t xml:space="preserve">Air quality control regions.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the designation and classification of air quality control regions.</w:t>
      </w:r>
    </w:p>
    <w:p>
      <w:pPr>
        <w:pStyle w:val="kar_section"/>
      </w:pPr>
      <w:r>
        <w:t xml:space="preserve">Section 1.</w:t>
      </w:r>
      <w:r>
        <w:t xml:space="preserve"> </w:t>
      </w:r>
      <w:r>
        <w:t xml:space="preserve">Designation of Air Quality Control Regions. Air quality control regions designated by the Administrator of the U.S. EPA pursuant to Section 107 of the Clean Air Act as amended are listed in this section. The air quality control regions consist of the territorial area encompassed by the boundaries of the designated jurisdictions herein geographically located within the outermost boundaries of the area so delimited.</w:t>
      </w:r>
    </w:p>
    <w:p>
      <w:pPr>
        <w:pStyle w:val="kar_subsection"/>
      </w:pPr>
      <w:r>
        <w:t xml:space="preserve">(1)</w:t>
      </w:r>
      <w:r>
        <w:t xml:space="preserve"> </w:t>
      </w:r>
      <w:r>
        <w:t xml:space="preserve">Appalachian Intrastate Air Quality Control Region. In the Commonwealth of Kentucky the following counties: Bell, Breathitt, Clay, Floyd, Harlan, Jackson, Johnson, Knott, Knox, Laurel, Lee, Leslie, Letcher, Magoffin, Martin, Owsley, Perry, Pike, Rockcastle, Whitley, Wolfe.</w:t>
      </w:r>
    </w:p>
    <w:p>
      <w:pPr>
        <w:pStyle w:val="kar_subsection"/>
      </w:pPr>
      <w:r>
        <w:t xml:space="preserve">(2)</w:t>
      </w:r>
      <w:r>
        <w:t xml:space="preserve"> </w:t>
      </w:r>
      <w:r>
        <w:t xml:space="preserve">Bluegrass Intrastate Air Quality Control Region. In the Commonwealth of Kentucky the following counties: Anderson, Bourbon, Boyle, Clark, Estill, Fayette, Franklin, Garrard, Harrison, Jessamine, Lincoln, Madison, Mercer, Nicholas, Powell, Scott, Woodford.</w:t>
      </w:r>
    </w:p>
    <w:p>
      <w:pPr>
        <w:pStyle w:val="kar_subsection"/>
      </w:pPr>
      <w:r>
        <w:t xml:space="preserve">(3)</w:t>
      </w:r>
      <w:r>
        <w:t xml:space="preserve"> </w:t>
      </w:r>
      <w:r>
        <w:t xml:space="preserve">Evansville (Indiana) - Owensboro - Henderson (Kentucky) Interstate Air Quality Control Region. In the Commonwealth of Kentucky the following counties: Daviess, Hancock, Henderson, McLean, Ohio, Union, Webster.</w:t>
      </w:r>
    </w:p>
    <w:p>
      <w:pPr>
        <w:pStyle w:val="kar_subsection"/>
      </w:pPr>
      <w:r>
        <w:t xml:space="preserve">(4)</w:t>
      </w:r>
      <w:r>
        <w:t xml:space="preserve"> </w:t>
      </w:r>
      <w:r>
        <w:t xml:space="preserve">Huntington (West Virginia) - Ashland (Kentucky) - Portsmouth - Ironton (Ohio) Interstate Air Quality Control Region. In the Commonwealth of Kentucky the following counties: Bath, Boyd, Bracken, Carter, Elliott, Fleming, Greenup, Lawrence, Lewis, Mason, Menifee, Montgomery, Morgan, Robertson, Rowan.</w:t>
      </w:r>
    </w:p>
    <w:p>
      <w:pPr>
        <w:pStyle w:val="kar_subsection"/>
      </w:pPr>
      <w:r>
        <w:t xml:space="preserve">(5)</w:t>
      </w:r>
      <w:r>
        <w:t xml:space="preserve"> </w:t>
      </w:r>
      <w:r>
        <w:t xml:space="preserve">Louisville Interstate Air Quality Control Region. In the Commonwealth of Kentucky the following county: Jefferson.</w:t>
      </w:r>
    </w:p>
    <w:p>
      <w:pPr>
        <w:pStyle w:val="kar_subsection"/>
      </w:pPr>
      <w:r>
        <w:t xml:space="preserve">(6)</w:t>
      </w:r>
      <w:r>
        <w:t xml:space="preserve"> </w:t>
      </w:r>
      <w:r>
        <w:t xml:space="preserve">Metropolitan Cincinnati (Ohio) Interstate Air Quality Control Region. In the Commonwealth of Kentucky the following counties: Boone, Campbell, Carroll, Gallatin, Grant, Kenton, Owen, Pendleton.</w:t>
      </w:r>
    </w:p>
    <w:p>
      <w:pPr>
        <w:pStyle w:val="kar_subsection"/>
      </w:pPr>
      <w:r>
        <w:t xml:space="preserve">(7)</w:t>
      </w:r>
      <w:r>
        <w:t xml:space="preserve"> </w:t>
      </w:r>
      <w:r>
        <w:t xml:space="preserve">North Central Kentucky Intrastate Air Quality Control Region. In the Commonwealth of Kentucky the following counties: Breckinridge, Bullitt, Grayson, Hardin, Henry, Larue, Marion, Meade, Nelson, Oldham, Shelby, Spencer, Trimble, Washington.</w:t>
      </w:r>
    </w:p>
    <w:p>
      <w:pPr>
        <w:pStyle w:val="kar_subsection"/>
      </w:pPr>
      <w:r>
        <w:t xml:space="preserve">(8)</w:t>
      </w:r>
      <w:r>
        <w:t xml:space="preserve"> </w:t>
      </w:r>
      <w:r>
        <w:t xml:space="preserve">Paducah (Kentucky) - Cairo (Illinois) Interstate Air Quality Control Region. In the Commonwealth of Kentucky the following counties: Ballard, Caldwell, Calloway, Carlisle, Christian, Crittenden, Fulton, Graves, Hickman, Hopkins, Livingston, Lyon, Marshall, McCracken, Muhlenberg, Todd, Trigg.</w:t>
      </w:r>
    </w:p>
    <w:p>
      <w:pPr>
        <w:pStyle w:val="kar_subsection"/>
      </w:pPr>
      <w:r>
        <w:t xml:space="preserve">(9)</w:t>
      </w:r>
      <w:r>
        <w:t xml:space="preserve"> </w:t>
      </w:r>
      <w:r>
        <w:t xml:space="preserve">South Central Kentucky Intrastate Air Quality Control Region. In the Commonwealth of Kentucky the following counties: Adair, Allen, Barren, Butler, Casey, Clinton, Cumberland, Edmonson, Green, Hart, Logan, McCreary, Metcalfe, Monroe, Pulaski, Russell, Simpson, Taylor, Warren, Wayne.</w:t>
      </w:r>
    </w:p>
    <w:p>
      <w:pPr>
        <w:pStyle w:val="kar_section"/>
      </w:pPr>
      <w:r>
        <w:t xml:space="preserve">Section 2.</w:t>
      </w:r>
      <w:r>
        <w:t xml:space="preserve"> </w:t>
      </w:r>
      <w:r>
        <w:t xml:space="preserve">Classification of Air Quality Control Regions. The priority classification of air quality control regions shall be as in Appendix A to this administrative regulation. This priority system was established by the regulations of the U.S. EPA.</w:t>
      </w:r>
    </w:p>
    <w:p>
      <w:pPr>
        <w:pStyle w:val="kar_section"/>
      </w:pPr>
      <w:r>
        <w:t xml:space="preserve">Section 3.</w:t>
      </w:r>
      <w:r>
        <w:t xml:space="preserve"> </w:t>
      </w:r>
      <w:r>
        <w:t xml:space="preserve">Appendix A.</w:t>
      </w:r>
    </w:p>
    <w:tbl>
      <w:tblPr>
        <w:tblStyle w:val="kar_table"/>
        <w:tblW w:w="0" w:type="auto"/>
      </w:tblPr>
      <w:tblGrid>
        <w:gridCol w:w="1"/>
        <w:gridCol w:w="1"/>
        <w:gridCol w:w="1"/>
        <w:gridCol w:w="1"/>
        <w:gridCol w:w="1"/>
        <w:gridCol w:w="1"/>
      </w:tblGrid>
      <w:tr>
        <w:tc>
          <w:tcPr>
            <w:gridSpan w:val="6"/>
          </w:tcPr>
          <w:p>
            <w:pPr>
              <w:pStyle w:val="kar_table_cell"/>
            </w:pPr>
            <w:r>
              <w:t xml:space="preserve">Priority Classification to Air Quality Control Regions with Respect to Particulates, Sulfur Oxides*, Carbon Monoxide, Nitrogen Dioxide and Photochemical Oxidants (and Hydrocarbons).</w:t>
            </w:r>
          </w:p>
        </w:tc>
      </w:tr>
      <w:tr>
        <w:tc>
          <w:tcPr/>
          <w:p>
            <w:pPr>
              <w:pStyle w:val="kar_table_cell"/>
              <w:jc w:val="center"/>
            </w:pPr>
            <w:r>
              <w:t xml:space="preserve">Region (No.)</w:t>
            </w:r>
          </w:p>
        </w:tc>
        <w:tc>
          <w:tcPr/>
          <w:p>
            <w:pPr>
              <w:pStyle w:val="kar_table_cell"/>
              <w:jc w:val="center"/>
            </w:pPr>
            <w:r>
              <w:t xml:space="preserve">Particulate Matter</w:t>
            </w:r>
          </w:p>
        </w:tc>
        <w:tc>
          <w:tcPr/>
          <w:p>
            <w:pPr>
              <w:pStyle w:val="kar_table_cell"/>
              <w:jc w:val="center"/>
            </w:pPr>
            <w:r>
              <w:t xml:space="preserve">Sulfur* Oxides</w:t>
            </w:r>
          </w:p>
        </w:tc>
        <w:tc>
          <w:tcPr/>
          <w:p>
            <w:pPr>
              <w:pStyle w:val="kar_table_cell"/>
              <w:jc w:val="center"/>
            </w:pPr>
            <w:r>
              <w:t xml:space="preserve">Carbon Monoxide</w:t>
            </w:r>
          </w:p>
        </w:tc>
        <w:tc>
          <w:tcPr/>
          <w:p>
            <w:pPr>
              <w:pStyle w:val="kar_table_cell"/>
              <w:jc w:val="center"/>
            </w:pPr>
            <w:r>
              <w:t xml:space="preserve">Nitrogen Dioxide</w:t>
            </w:r>
          </w:p>
        </w:tc>
        <w:tc>
          <w:tcPr/>
          <w:p>
            <w:pPr>
              <w:pStyle w:val="kar_table_cell"/>
              <w:jc w:val="center"/>
            </w:pPr>
            <w:r>
              <w:t xml:space="preserve">Photochemical Oxidants Hydrocarbons</w:t>
            </w:r>
          </w:p>
        </w:tc>
      </w:tr>
      <w:tr>
        <w:tc>
          <w:tcPr/>
          <w:p>
            <w:pPr>
              <w:pStyle w:val="kar_table_cell"/>
            </w:pPr>
            <w:r>
              <w:t xml:space="preserve">Louisville (078)</w:t>
            </w:r>
          </w:p>
        </w:tc>
        <w:tc>
          <w:tcPr/>
          <w:p>
            <w:pPr>
              <w:pStyle w:val="kar_table_cell"/>
              <w:jc w:val="center"/>
            </w:pPr>
            <w:r>
              <w:t xml:space="preserve">I</w:t>
            </w:r>
          </w:p>
        </w:tc>
        <w:tc>
          <w:tcPr/>
          <w:p>
            <w:pPr>
              <w:pStyle w:val="kar_table_cell"/>
              <w:jc w:val="center"/>
            </w:pPr>
            <w:r>
              <w:t xml:space="preserve">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w:t>
            </w:r>
          </w:p>
        </w:tc>
      </w:tr>
      <w:tr>
        <w:tc>
          <w:tcPr/>
          <w:p>
            <w:pPr>
              <w:pStyle w:val="kar_table_cell"/>
            </w:pPr>
            <w:r>
              <w:t xml:space="preserve">Cincinnati (079)</w:t>
            </w:r>
          </w:p>
        </w:tc>
        <w:tc>
          <w:tcPr/>
          <w:p>
            <w:pPr>
              <w:pStyle w:val="kar_table_cell"/>
              <w:jc w:val="center"/>
            </w:pPr>
            <w:r>
              <w:t xml:space="preserve">I</w:t>
            </w:r>
          </w:p>
        </w:tc>
        <w:tc>
          <w:tcPr/>
          <w:p>
            <w:pPr>
              <w:pStyle w:val="kar_table_cell"/>
              <w:jc w:val="center"/>
            </w:pPr>
            <w:r>
              <w:t xml:space="preserve">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w:t>
            </w:r>
          </w:p>
        </w:tc>
      </w:tr>
      <w:tr>
        <w:tc>
          <w:tcPr/>
          <w:p>
            <w:pPr>
              <w:pStyle w:val="kar_table_cell"/>
            </w:pPr>
            <w:r>
              <w:t xml:space="preserve">Paducah-Cairo (072)</w:t>
            </w:r>
          </w:p>
        </w:tc>
        <w:tc>
          <w:tcPr/>
          <w:p>
            <w:pPr>
              <w:pStyle w:val="kar_table_cell"/>
              <w:jc w:val="center"/>
            </w:pPr>
            <w:r>
              <w:t xml:space="preserve">I</w:t>
            </w:r>
          </w:p>
        </w:tc>
        <w:tc>
          <w:tcPr/>
          <w:p>
            <w:pPr>
              <w:pStyle w:val="kar_table_cell"/>
              <w:jc w:val="center"/>
            </w:pPr>
            <w:r>
              <w:t xml:space="preserve">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r>
        <w:tc>
          <w:tcPr/>
          <w:p>
            <w:pPr>
              <w:pStyle w:val="kar_table_cell"/>
            </w:pPr>
            <w:r>
              <w:t xml:space="preserve">Huntington-Ashland (103)</w:t>
            </w:r>
          </w:p>
        </w:tc>
        <w:tc>
          <w:tcPr/>
          <w:p>
            <w:pPr>
              <w:pStyle w:val="kar_table_cell"/>
              <w:jc w:val="center"/>
            </w:pPr>
            <w:r>
              <w:t xml:space="preserve">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r>
        <w:tc>
          <w:tcPr/>
          <w:p>
            <w:pPr>
              <w:pStyle w:val="kar_table_cell"/>
            </w:pPr>
            <w:r>
              <w:t xml:space="preserve">Evansville-Henderson (077)</w:t>
            </w:r>
          </w:p>
        </w:tc>
        <w:tc>
          <w:tcPr/>
          <w:p>
            <w:pPr>
              <w:pStyle w:val="kar_table_cell"/>
              <w:jc w:val="center"/>
            </w:pPr>
            <w:r>
              <w:t xml:space="preserve">I</w:t>
            </w:r>
          </w:p>
        </w:tc>
        <w:tc>
          <w:tcPr/>
          <w:p>
            <w:pPr>
              <w:pStyle w:val="kar_table_cell"/>
              <w:jc w:val="center"/>
            </w:pPr>
            <w:r>
              <w:t xml:space="preserve">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r>
        <w:tc>
          <w:tcPr/>
          <w:p>
            <w:pPr>
              <w:pStyle w:val="kar_table_cell"/>
            </w:pPr>
            <w:r>
              <w:t xml:space="preserve">Bluegrass (102)</w:t>
            </w:r>
          </w:p>
        </w:tc>
        <w:tc>
          <w:tcPr/>
          <w:p>
            <w:pPr>
              <w:pStyle w:val="kar_table_cell"/>
              <w:jc w:val="center"/>
            </w:pPr>
            <w:r>
              <w:t xml:space="preserve">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r>
        <w:tc>
          <w:tcPr/>
          <w:p>
            <w:pPr>
              <w:pStyle w:val="kar_table_cell"/>
            </w:pPr>
            <w:r>
              <w:t xml:space="preserve">Appalachian (101)</w:t>
            </w:r>
          </w:p>
        </w:tc>
        <w:tc>
          <w:tcPr/>
          <w:p>
            <w:pPr>
              <w:pStyle w:val="kar_table_cell"/>
              <w:jc w:val="center"/>
            </w:pPr>
            <w:r>
              <w:t xml:space="preserve">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r>
        <w:tc>
          <w:tcPr/>
          <w:p>
            <w:pPr>
              <w:pStyle w:val="kar_table_cell"/>
            </w:pPr>
            <w:r>
              <w:t xml:space="preserve">North Central (104)</w:t>
            </w:r>
          </w:p>
        </w:tc>
        <w:tc>
          <w:tcPr/>
          <w:p>
            <w:pPr>
              <w:pStyle w:val="kar_table_cell"/>
              <w:jc w:val="center"/>
            </w:pPr>
            <w:r>
              <w:t xml:space="preserve">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r>
        <w:tc>
          <w:tcPr/>
          <w:p>
            <w:pPr>
              <w:pStyle w:val="kar_table_cell"/>
            </w:pPr>
            <w:r>
              <w:t xml:space="preserve">South Central (105)</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c>
          <w:tcPr/>
          <w:p>
            <w:pPr>
              <w:pStyle w:val="kar_table_cell"/>
              <w:jc w:val="center"/>
            </w:pPr>
            <w:r>
              <w:t xml:space="preserve">III</w:t>
            </w:r>
          </w:p>
        </w:tc>
      </w:tr>
    </w:tbl>
    <w:p>
      <w:pPr>
        <w:pStyle w:val="kar_caption"/>
      </w:pPr>
      <w:r>
        <w:t xml:space="preserve">*Refer to 401 KAR 50:025 for the county classification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050:020. 5 Ky.R. 356; eff. 6-6-1979; Crt eff. 11-21-2018; TAm eff. 9-4-2019; Crt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db73548e9b43fc" /><Relationship Type="http://schemas.openxmlformats.org/officeDocument/2006/relationships/settings" Target="/word/settings.xml" Id="Ra565bd82184d474f" /></Relationships>
</file>