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4a6b508f1b4409" /></Relationships>
</file>

<file path=word/document.xml><?xml version="1.0" encoding="utf-8"?>
<w:document xmlns:w="http://schemas.openxmlformats.org/wordprocessingml/2006/main">
  <w:body>
    <w:p>
      <w:pPr>
        <w:pStyle w:val="kar_citation"/>
      </w:pPr>
      <w:r>
        <w:t>401 KAR 51:250.</w:t>
      </w:r>
      <w:r>
        <w:t xml:space="preserve"> </w:t>
      </w:r>
      <w:r>
        <w:t xml:space="preserve">Cross-State Air Pollution Rule (CSAPR) NOx ozone season group 2 trading program.</w:t>
      </w:r>
    </w:p>
    <w:p>
      <w:pPr>
        <w:pStyle w:val="kar_markup_metadata"/>
      </w:pPr>
      <w:r>
        <w:t xml:space="preserve">RELATES TO: </w:t>
      </w:r>
      <w:r>
        <w:t xml:space="preserve">KRS 224.1-010, 224.10-100, 224.20-100, 224.20-110, 224.20-120, 40 C.F.R. 97.801-97.835, 42 U.S.C. 7410</w:t>
      </w:r>
    </w:p>
    <w:p>
      <w:pPr>
        <w:pStyle w:val="kar_markup_metadata"/>
      </w:pPr>
      <w:r>
        <w:t xml:space="preserve">STATUTORY AUTHORITY: </w:t>
      </w:r>
      <w:r>
        <w:t xml:space="preserve">KRS 224.10-100(5), 224.20-110, 42 U.S.C. 7410</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establishes the requirements for the control of ozone season nitrogen oxides (NOx) emissions from large boilers and turbines used in power plants, pursuant to the Cross-State Air Pollution Rule (CSAPR) NOx ozone season group 2 trading program, 40 C.F.R. 97.801 through 97.835, Subpart EEEEE for sources located in the Commonwealth of Kentucky. This administrative regulation is not more stringent than the provisions of the federal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 as established in subsection (2) of this section, terms shall have the meaning established in 40 C.F.R. 97.802 and 97.803, as published July 1, 2017.</w:t>
      </w:r>
    </w:p>
    <w:p>
      <w:pPr>
        <w:pStyle w:val="kar_subsection"/>
      </w:pPr>
      <w:r>
        <w:t xml:space="preserve">(2)</w:t>
      </w:r>
      <w:r>
        <w:t xml:space="preserve"> </w:t>
      </w:r>
      <w:r>
        <w:t xml:space="preserve">"Permitting Authority" means:</w:t>
      </w:r>
    </w:p>
    <w:p>
      <w:pPr>
        <w:pStyle w:val="kar_paragraph"/>
      </w:pPr>
      <w:r>
        <w:t xml:space="preserve">(a)</w:t>
      </w:r>
      <w:r>
        <w:t xml:space="preserve"> </w:t>
      </w:r>
      <w:r>
        <w:t xml:space="preserve">For a unit located in Kentucky, the cabinet, as defined by KRS 224.1-010(8); and</w:t>
      </w:r>
    </w:p>
    <w:p>
      <w:pPr>
        <w:pStyle w:val="kar_paragraph"/>
      </w:pPr>
      <w:r>
        <w:t xml:space="preserve">(b)</w:t>
      </w:r>
      <w:r>
        <w:t xml:space="preserve"> </w:t>
      </w:r>
      <w:r>
        <w:t xml:space="preserve">For a unit located outside of the Commonwealth of Kentucky participating in the trading program, "permitting authority" as defined by 40 C.F.R. 97.802.</w:t>
      </w:r>
    </w:p>
    <w:p>
      <w:pPr>
        <w:pStyle w:val="kar_section"/>
      </w:pPr>
      <w:r>
        <w:t xml:space="preserve">Section 2.</w:t>
      </w:r>
      <w:r>
        <w:t xml:space="preserve"> </w:t>
      </w:r>
      <w:r>
        <w:t xml:space="preserve">Applicability. This administrative regulation shall apply to CSAPR NO</w:t>
      </w:r>
      <w:r>
        <w:rPr>
          <w:vertAlign w:val="subscript"/>
        </w:rPr>
        <w:t xml:space="preserve">x </w:t>
      </w:r>
      <w:r>
        <w:t xml:space="preserve">Ozone Season Group 2 units in Kentucky subject to 40 C.F.R. 97.804, as published July 1, 2017.</w:t>
      </w:r>
    </w:p>
    <w:p>
      <w:pPr>
        <w:pStyle w:val="kar_section"/>
      </w:pPr>
      <w:r>
        <w:t xml:space="preserve">Section 3.</w:t>
      </w:r>
      <w:r>
        <w:t xml:space="preserve"> </w:t>
      </w:r>
      <w:r>
        <w:t xml:space="preserve">Compliance Requirements. CSAPR NO</w:t>
      </w:r>
      <w:r>
        <w:rPr>
          <w:vertAlign w:val="subscript"/>
        </w:rPr>
        <w:t xml:space="preserve">x </w:t>
      </w:r>
      <w:r>
        <w:t xml:space="preserve">Ozone Season Group 2</w:t>
      </w:r>
      <w:r>
        <w:t xml:space="preserve">units shall comply with:</w:t>
      </w:r>
    </w:p>
    <w:p>
      <w:pPr>
        <w:pStyle w:val="kar_subsection"/>
      </w:pPr>
      <w:r>
        <w:t xml:space="preserve">(1)</w:t>
      </w:r>
      <w:r>
        <w:t xml:space="preserve"> </w:t>
      </w:r>
      <w:r>
        <w:t xml:space="preserve">40 C.F.R. 97.801, Purpose, as published July 1, 2017;</w:t>
      </w:r>
    </w:p>
    <w:p>
      <w:pPr>
        <w:pStyle w:val="kar_subsection"/>
      </w:pPr>
      <w:r>
        <w:t xml:space="preserve">(2)</w:t>
      </w:r>
      <w:r>
        <w:t xml:space="preserve"> </w:t>
      </w:r>
      <w:r>
        <w:t xml:space="preserve"> </w:t>
      </w:r>
    </w:p>
    <w:p>
      <w:pPr>
        <w:pStyle w:val="kar_paragraph"/>
      </w:pPr>
      <w:r>
        <w:t xml:space="preserve">(a)</w:t>
      </w:r>
      <w:r>
        <w:t xml:space="preserve"> </w:t>
      </w:r>
      <w:r>
        <w:t xml:space="preserve">40 C.F.R. 97.804, Applicability, as published July 1, 2017; and</w:t>
      </w:r>
    </w:p>
    <w:p>
      <w:pPr>
        <w:pStyle w:val="kar_paragraph"/>
      </w:pPr>
      <w:r>
        <w:t xml:space="preserve">(b)</w:t>
      </w:r>
      <w:r>
        <w:t xml:space="preserve"> </w:t>
      </w:r>
      <w:r>
        <w:t xml:space="preserve">In 40 C.F.R. 97.804(a)(1) and (b), the phrase "in a State (and Indian Country within the borders of such state)" shall be replaced with "in Kentucky".</w:t>
      </w:r>
    </w:p>
    <w:p>
      <w:pPr>
        <w:pStyle w:val="kar_subsection"/>
      </w:pPr>
      <w:r>
        <w:t xml:space="preserve">(3)</w:t>
      </w:r>
      <w:r>
        <w:t xml:space="preserve"> </w:t>
      </w:r>
      <w:r>
        <w:t xml:space="preserve">40 C.F.R. 97.805, Retired Unit Exemption, as published July 1, 2017;</w:t>
      </w:r>
    </w:p>
    <w:p>
      <w:pPr>
        <w:pStyle w:val="kar_subsection"/>
      </w:pPr>
      <w:r>
        <w:t xml:space="preserve">(4)</w:t>
      </w:r>
      <w:r>
        <w:t xml:space="preserve"> </w:t>
      </w:r>
      <w:r>
        <w:t xml:space="preserve">40 C.F.R. 97.806, Standard Requirements, as published July 1, 2017;</w:t>
      </w:r>
    </w:p>
    <w:p>
      <w:pPr>
        <w:pStyle w:val="kar_subsection"/>
      </w:pPr>
      <w:r>
        <w:t xml:space="preserve">(5)</w:t>
      </w:r>
      <w:r>
        <w:t xml:space="preserve"> </w:t>
      </w:r>
      <w:r>
        <w:t xml:space="preserve">40 C.F.R. 97.807, Computation of Time, as published July 1, 2017;</w:t>
      </w:r>
    </w:p>
    <w:p>
      <w:pPr>
        <w:pStyle w:val="kar_subsection"/>
      </w:pPr>
      <w:r>
        <w:t xml:space="preserve">(6)</w:t>
      </w:r>
      <w:r>
        <w:t xml:space="preserve"> </w:t>
      </w:r>
      <w:r>
        <w:t xml:space="preserve">40 C.F.R. 97.808, Administrative Appeal Procedures, as published July 1, 2017;</w:t>
      </w:r>
    </w:p>
    <w:p>
      <w:pPr>
        <w:pStyle w:val="kar_subsection"/>
      </w:pPr>
      <w:r>
        <w:t xml:space="preserve">(7)</w:t>
      </w:r>
      <w:r>
        <w:t xml:space="preserve"> </w:t>
      </w:r>
      <w:r>
        <w:t xml:space="preserve"> </w:t>
      </w:r>
    </w:p>
    <w:p>
      <w:pPr>
        <w:pStyle w:val="kar_paragraph"/>
      </w:pPr>
      <w:r>
        <w:t xml:space="preserve">(a)</w:t>
      </w:r>
      <w:r>
        <w:t xml:space="preserve"> </w:t>
      </w:r>
      <w:r>
        <w:t xml:space="preserve">State NO</w:t>
      </w:r>
      <w:r>
        <w:rPr>
          <w:vertAlign w:val="subscript"/>
        </w:rPr>
        <w:t xml:space="preserve">x</w:t>
      </w:r>
      <w:r>
        <w:t xml:space="preserve"> Ozone Season Trading Budgets, New Unit Set-Asides, and Variability Limits for the 2017 control period and thereafter:</w:t>
      </w:r>
    </w:p>
    <w:p>
      <w:pPr>
        <w:pStyle w:val="kar_subparagraph"/>
      </w:pPr>
      <w:r>
        <w:t xml:space="preserve">1.</w:t>
      </w:r>
      <w:r>
        <w:t xml:space="preserve"> </w:t>
      </w:r>
      <w:r>
        <w:t xml:space="preserve">The NO</w:t>
      </w:r>
      <w:r>
        <w:rPr>
          <w:vertAlign w:val="subscript"/>
        </w:rPr>
        <w:t xml:space="preserve">x</w:t>
      </w:r>
      <w:r>
        <w:t xml:space="preserve"> Ozone Season trading budget shall be 21,115 tons;</w:t>
      </w:r>
    </w:p>
    <w:p>
      <w:pPr>
        <w:pStyle w:val="kar_subparagraph"/>
      </w:pPr>
      <w:r>
        <w:t xml:space="preserve">2.</w:t>
      </w:r>
      <w:r>
        <w:t xml:space="preserve"> </w:t>
      </w:r>
      <w:r>
        <w:t xml:space="preserve">The new unit set-aside shall be 426 tons; and</w:t>
      </w:r>
    </w:p>
    <w:p>
      <w:pPr>
        <w:pStyle w:val="kar_subparagraph"/>
      </w:pPr>
      <w:r>
        <w:t xml:space="preserve">3.</w:t>
      </w:r>
      <w:r>
        <w:t xml:space="preserve"> </w:t>
      </w:r>
      <w:r>
        <w:t xml:space="preserve">The variability limit shall be 4,434 tons; and</w:t>
      </w:r>
    </w:p>
    <w:p>
      <w:pPr>
        <w:pStyle w:val="kar_paragraph"/>
      </w:pPr>
      <w:r>
        <w:t xml:space="preserve">(b)</w:t>
      </w:r>
      <w:r>
        <w:t xml:space="preserve"> </w:t>
      </w:r>
      <w:r>
        <w:t xml:space="preserve">Each Kentucky NO</w:t>
      </w:r>
      <w:r>
        <w:rPr>
          <w:vertAlign w:val="subscript"/>
        </w:rPr>
        <w:t xml:space="preserve">x</w:t>
      </w:r>
      <w:r>
        <w:t xml:space="preserve"> Ozone Season Group 2 trading budget in subparagraph (a)1. of this subsection shall include any tons in the new unit set-aside but shall not include any tons in the variability limit;</w:t>
      </w:r>
    </w:p>
    <w:p>
      <w:pPr>
        <w:pStyle w:val="kar_subsection"/>
      </w:pPr>
      <w:r>
        <w:t xml:space="preserve">(8)</w:t>
      </w:r>
      <w:r>
        <w:t xml:space="preserve"> </w:t>
      </w:r>
      <w:r>
        <w:t xml:space="preserve">40 C.F.R. 97.811(a) through (b)(1) and (c)(1) through (c)(5)(ii), Timing Requirements for CSAPR NO</w:t>
      </w:r>
      <w:r>
        <w:rPr>
          <w:vertAlign w:val="subscript"/>
        </w:rPr>
        <w:t xml:space="preserve">x</w:t>
      </w:r>
      <w:r>
        <w:t xml:space="preserve"> Ozone Season Group 2 Allowance Allocations, as published July 1, 2017;</w:t>
      </w:r>
    </w:p>
    <w:p>
      <w:pPr>
        <w:pStyle w:val="kar_subsection"/>
      </w:pPr>
      <w:r>
        <w:t xml:space="preserve">(9)</w:t>
      </w:r>
      <w:r>
        <w:t xml:space="preserve"> </w:t>
      </w:r>
      <w:r>
        <w:t xml:space="preserve">40 C.F.R. 97.812(a), CSAPR NO</w:t>
      </w:r>
      <w:r>
        <w:rPr>
          <w:vertAlign w:val="subscript"/>
        </w:rPr>
        <w:t xml:space="preserve">x</w:t>
      </w:r>
      <w:r>
        <w:t xml:space="preserve"> Ozone Season Group 2 Allowance Allocations to New Units, as published July 1, 2017;</w:t>
      </w:r>
    </w:p>
    <w:p>
      <w:pPr>
        <w:pStyle w:val="kar_subsection"/>
      </w:pPr>
      <w:r>
        <w:t xml:space="preserve">(10)</w:t>
      </w:r>
      <w:r>
        <w:t xml:space="preserve"> </w:t>
      </w:r>
      <w:r>
        <w:t xml:space="preserve">40 C.F.R. 97.813, Authorization of Designated Representative and Alternate Designated Representative, as published July 1, 2017;</w:t>
      </w:r>
    </w:p>
    <w:p>
      <w:pPr>
        <w:pStyle w:val="kar_subsection"/>
      </w:pPr>
      <w:r>
        <w:t xml:space="preserve">(11)</w:t>
      </w:r>
      <w:r>
        <w:t xml:space="preserve"> </w:t>
      </w:r>
      <w:r>
        <w:t xml:space="preserve">40 C.F.R. 97.814, Responsibilities of Designated Representative and Alternate Designated Representative, as published July 1, 2017;</w:t>
      </w:r>
    </w:p>
    <w:p>
      <w:pPr>
        <w:pStyle w:val="kar_subsection"/>
      </w:pPr>
      <w:r>
        <w:t xml:space="preserve">(12)</w:t>
      </w:r>
      <w:r>
        <w:t xml:space="preserve"> </w:t>
      </w:r>
      <w:r>
        <w:t xml:space="preserve">40 C.F.R. 97.815, Changing Designated Representative and Alternate Designated Representative; Changes in Owners and Operators; Change in Units at the Source, as published July 1, 2017;</w:t>
      </w:r>
    </w:p>
    <w:p>
      <w:pPr>
        <w:pStyle w:val="kar_subsection"/>
      </w:pPr>
      <w:r>
        <w:t xml:space="preserve">(13)</w:t>
      </w:r>
      <w:r>
        <w:t xml:space="preserve"> </w:t>
      </w:r>
      <w:r>
        <w:t xml:space="preserve">40 C.F.R. 97.816, Certificate of Representation, as published July 1, 2017;</w:t>
      </w:r>
    </w:p>
    <w:p>
      <w:pPr>
        <w:pStyle w:val="kar_subsection"/>
      </w:pPr>
      <w:r>
        <w:t xml:space="preserve">(14)</w:t>
      </w:r>
      <w:r>
        <w:t xml:space="preserve"> </w:t>
      </w:r>
      <w:r>
        <w:t xml:space="preserve">40 C.F.R. 97.817, Objections Concerning Designated Representative and Alternate Designated Representative, as published July 1, 2017;</w:t>
      </w:r>
    </w:p>
    <w:p>
      <w:pPr>
        <w:pStyle w:val="kar_subsection"/>
      </w:pPr>
      <w:r>
        <w:t xml:space="preserve">(15)</w:t>
      </w:r>
      <w:r>
        <w:t xml:space="preserve"> </w:t>
      </w:r>
      <w:r>
        <w:t xml:space="preserve">40 C.F.R. 97.818, Delegation by Designated Representative and Alternate Designated Representative, as published July 1, 2017;</w:t>
      </w:r>
    </w:p>
    <w:p>
      <w:pPr>
        <w:pStyle w:val="kar_subsection"/>
      </w:pPr>
      <w:r>
        <w:t xml:space="preserve">(16)</w:t>
      </w:r>
      <w:r>
        <w:t xml:space="preserve"> </w:t>
      </w:r>
      <w:r>
        <w:t xml:space="preserve">40 C.F.R. 97.820, Establishment of Compliance Accounts, Assurance Accounts, and General Accounts, as published July 1, 2017;</w:t>
      </w:r>
    </w:p>
    <w:p>
      <w:pPr>
        <w:pStyle w:val="kar_subsection"/>
      </w:pPr>
      <w:r>
        <w:t xml:space="preserve">(17)</w:t>
      </w:r>
      <w:r>
        <w:t xml:space="preserve"> </w:t>
      </w:r>
      <w:r>
        <w:t xml:space="preserve">40 C.F.R. 97.821(a) through (g), (i), and (k) through (l), Recordation of CSAPR NO</w:t>
      </w:r>
      <w:r>
        <w:rPr>
          <w:vertAlign w:val="subscript"/>
        </w:rPr>
        <w:t xml:space="preserve">x</w:t>
      </w:r>
      <w:r>
        <w:t xml:space="preserve"> Ozone Season Group 2 Allowance Allocations and Auction Results, as published July 1, 2017;</w:t>
      </w:r>
    </w:p>
    <w:p>
      <w:pPr>
        <w:pStyle w:val="kar_subsection"/>
      </w:pPr>
      <w:r>
        <w:t xml:space="preserve">(18)</w:t>
      </w:r>
      <w:r>
        <w:t xml:space="preserve"> </w:t>
      </w:r>
      <w:r>
        <w:t xml:space="preserve">40 C.F.R. 97.822, Submission of CSAPR NO</w:t>
      </w:r>
      <w:r>
        <w:rPr>
          <w:vertAlign w:val="subscript"/>
        </w:rPr>
        <w:t xml:space="preserve">x</w:t>
      </w:r>
      <w:r>
        <w:t xml:space="preserve"> Ozone Season Group 2 Allowance Transfers, as published July 1, 2017;</w:t>
      </w:r>
    </w:p>
    <w:p>
      <w:pPr>
        <w:pStyle w:val="kar_subsection"/>
      </w:pPr>
      <w:r>
        <w:t xml:space="preserve">(19)</w:t>
      </w:r>
      <w:r>
        <w:t xml:space="preserve"> </w:t>
      </w:r>
      <w:r>
        <w:t xml:space="preserve">40 C.F.R. 97.823, Recordation of CSAPR NO</w:t>
      </w:r>
      <w:r>
        <w:rPr>
          <w:vertAlign w:val="subscript"/>
        </w:rPr>
        <w:t xml:space="preserve">x</w:t>
      </w:r>
      <w:r>
        <w:t xml:space="preserve"> Ozone Season Group 2 Allowance Transfers, as published July 1, 2017;</w:t>
      </w:r>
    </w:p>
    <w:p>
      <w:pPr>
        <w:pStyle w:val="kar_subsection"/>
      </w:pPr>
      <w:r>
        <w:t xml:space="preserve">(20)</w:t>
      </w:r>
      <w:r>
        <w:t xml:space="preserve"> </w:t>
      </w:r>
      <w:r>
        <w:t xml:space="preserve">40 C.F.R. 97.824, Compliance with CSAPR NO</w:t>
      </w:r>
      <w:r>
        <w:rPr>
          <w:vertAlign w:val="subscript"/>
        </w:rPr>
        <w:t xml:space="preserve">x</w:t>
      </w:r>
      <w:r>
        <w:t xml:space="preserve"> Ozone Season Group 2 Emissions Limitation, as published July 1, 2017;</w:t>
      </w:r>
    </w:p>
    <w:p>
      <w:pPr>
        <w:pStyle w:val="kar_subsection"/>
      </w:pPr>
      <w:r>
        <w:t xml:space="preserve">(21)</w:t>
      </w:r>
      <w:r>
        <w:t xml:space="preserve"> </w:t>
      </w:r>
      <w:r>
        <w:t xml:space="preserve">40 C.F.R. 97.825, Compliance with CSAPR NO</w:t>
      </w:r>
      <w:r>
        <w:rPr>
          <w:vertAlign w:val="subscript"/>
        </w:rPr>
        <w:t xml:space="preserve">x</w:t>
      </w:r>
      <w:r>
        <w:t xml:space="preserve"> Ozone Season Group 2 Assurance Provisions, as published July 1, 2017;</w:t>
      </w:r>
    </w:p>
    <w:p>
      <w:pPr>
        <w:pStyle w:val="kar_subsection"/>
      </w:pPr>
      <w:r>
        <w:t xml:space="preserve">(22)</w:t>
      </w:r>
      <w:r>
        <w:t xml:space="preserve"> </w:t>
      </w:r>
      <w:r>
        <w:t xml:space="preserve">40 C.F.R. 97.826, Banking, as published July 1, 2017;</w:t>
      </w:r>
    </w:p>
    <w:p>
      <w:pPr>
        <w:pStyle w:val="kar_subsection"/>
      </w:pPr>
      <w:r>
        <w:t xml:space="preserve">(23)</w:t>
      </w:r>
      <w:r>
        <w:t xml:space="preserve"> </w:t>
      </w:r>
      <w:r>
        <w:t xml:space="preserve">40 C.F.R. 97.827, Account Error, as published July 1, 2017;</w:t>
      </w:r>
    </w:p>
    <w:p>
      <w:pPr>
        <w:pStyle w:val="kar_subsection"/>
      </w:pPr>
      <w:r>
        <w:t xml:space="preserve">(24)</w:t>
      </w:r>
      <w:r>
        <w:t xml:space="preserve"> </w:t>
      </w:r>
      <w:r>
        <w:t xml:space="preserve">40 C.F.R. 97.828, Administrator's Action on Submissions, as published July 1, 2017;</w:t>
      </w:r>
    </w:p>
    <w:p>
      <w:pPr>
        <w:pStyle w:val="kar_subsection"/>
      </w:pPr>
      <w:r>
        <w:t xml:space="preserve">(25)</w:t>
      </w:r>
      <w:r>
        <w:t xml:space="preserve"> </w:t>
      </w:r>
      <w:r>
        <w:t xml:space="preserve">40 C.F.R. 97.830, General Monitoring, Recordkeeping, and Reporting Requirements, as published July 1, 2017;</w:t>
      </w:r>
    </w:p>
    <w:p>
      <w:pPr>
        <w:pStyle w:val="kar_subsection"/>
      </w:pPr>
      <w:r>
        <w:t xml:space="preserve">(26)</w:t>
      </w:r>
      <w:r>
        <w:t xml:space="preserve"> </w:t>
      </w:r>
      <w:r>
        <w:t xml:space="preserve">40 C.F.R. 97.831, Initial Monitoring System Certification and Recertification Procedures, as published July 1, 2017;</w:t>
      </w:r>
    </w:p>
    <w:p>
      <w:pPr>
        <w:pStyle w:val="kar_subsection"/>
      </w:pPr>
      <w:r>
        <w:t xml:space="preserve">(27)</w:t>
      </w:r>
      <w:r>
        <w:t xml:space="preserve"> </w:t>
      </w:r>
      <w:r>
        <w:t xml:space="preserve">40 C.F.R. 97.832, Monitoring System Out-of-Control Periods, as published July 1, 2017;</w:t>
      </w:r>
    </w:p>
    <w:p>
      <w:pPr>
        <w:pStyle w:val="kar_subsection"/>
      </w:pPr>
      <w:r>
        <w:t xml:space="preserve">(28)</w:t>
      </w:r>
      <w:r>
        <w:t xml:space="preserve"> </w:t>
      </w:r>
      <w:r>
        <w:t xml:space="preserve">40 C.F.R. 97.833, Notifications Concerning Monitoring, as published July 1, 2017;</w:t>
      </w:r>
    </w:p>
    <w:p>
      <w:pPr>
        <w:pStyle w:val="kar_subsection"/>
      </w:pPr>
      <w:r>
        <w:t xml:space="preserve">(29)</w:t>
      </w:r>
      <w:r>
        <w:t xml:space="preserve"> </w:t>
      </w:r>
      <w:r>
        <w:t xml:space="preserve">40 C.F.R. 97.834, Recordkeeping and Reporting, as published July 1, 2017; and</w:t>
      </w:r>
    </w:p>
    <w:p>
      <w:pPr>
        <w:pStyle w:val="kar_subsection"/>
      </w:pPr>
      <w:r>
        <w:t xml:space="preserve">(30)</w:t>
      </w:r>
      <w:r>
        <w:t xml:space="preserve"> </w:t>
      </w:r>
      <w:r>
        <w:t xml:space="preserve">40 C.F.R. 97.835, Petitions for Alternative to Monitoring, Recordkeeping, or Reporting Requirements, as published July 1, 2017.</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051:250. 44 Ky.R. 2286, 2507; eff. 7-5-2018; Crt eff. 6-27-2025.)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db5ab7d2654b82" /><Relationship Type="http://schemas.openxmlformats.org/officeDocument/2006/relationships/settings" Target="/word/settings.xml" Id="Rf61d7e94bdd24917" /></Relationships>
</file>