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412e77ead7477d" /></Relationships>
</file>

<file path=word/document.xml><?xml version="1.0" encoding="utf-8"?>
<w:document xmlns:w="http://schemas.openxmlformats.org/wordprocessingml/2006/main">
  <w:body>
    <w:p>
      <w:pPr>
        <w:pStyle w:val="kar_citation"/>
      </w:pPr>
      <w:r>
        <w:t>401 KAR 59:090.</w:t>
      </w:r>
      <w:r>
        <w:t xml:space="preserve"> </w:t>
      </w:r>
      <w:r>
        <w:t xml:space="preserve">New ethylene producing plants.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new ethylene producing plants.</w:t>
      </w:r>
    </w:p>
    <w:p>
      <w:pPr>
        <w:pStyle w:val="kar_section"/>
      </w:pPr>
      <w:r>
        <w:t xml:space="preserve">Section 1.</w:t>
      </w:r>
      <w:r>
        <w:t xml:space="preserve"> </w:t>
      </w:r>
      <w:r>
        <w:t xml:space="preserve">Applicability. The provisions of this administrative regulation shall apply to each affected facility which means each waste gas stream of any ethylene producing plant commenced on or after the classification date defined below.</w:t>
      </w:r>
    </w:p>
    <w:p>
      <w:pPr>
        <w:pStyle w:val="kar_section"/>
      </w:pPr>
      <w:r>
        <w:t xml:space="preserve">Section 2.</w:t>
      </w:r>
      <w:r>
        <w:t xml:space="preserve"> </w:t>
      </w:r>
      <w:r>
        <w:t xml:space="preserve">Definitions. As used in this administrative regulation all terms not defined herein shall have the meaning given them in 401 KAR 50:010. "Classification date" means April 9, 1972.</w:t>
      </w:r>
    </w:p>
    <w:p>
      <w:pPr>
        <w:pStyle w:val="kar_section"/>
      </w:pPr>
      <w:r>
        <w:t xml:space="preserve">Section 3.</w:t>
      </w:r>
      <w:r>
        <w:t xml:space="preserve"> </w:t>
      </w:r>
      <w:r>
        <w:t xml:space="preserve">Standard for Hydrocarbons. No person shall emit into the atmosphere a waste gas stream from any ethylene producing plant unless the waste gas stream is subjected to 1,300 degrees Fahrenheit for three-tenths (0.3) seconds or greater in a direct-flame afterburner or equally effective catalytic vapor incinerator. Either device must be equipped with an indicating pyrometer which is positioned in the working area at the operator's eye level.</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059:090. 5 Ky.R. 431; 1036; eff. 6-6-1979; TAm eff. 8-9-2007; Crt eff. 11-21-2018; Crt eff.11-5-2025.)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6edc402cec43c9" /><Relationship Type="http://schemas.openxmlformats.org/officeDocument/2006/relationships/settings" Target="/word/settings.xml" Id="R43896b1cd0cf4dc6" /></Relationships>
</file>