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37e4a404e94285" /></Relationships>
</file>

<file path=word/document.xml><?xml version="1.0" encoding="utf-8"?>
<w:document xmlns:w="http://schemas.openxmlformats.org/wordprocessingml/2006/main">
  <w:body>
    <w:p>
      <w:pPr>
        <w:pStyle w:val="kar_citation"/>
      </w:pPr>
      <w:r>
        <w:t>401 KAR 59:190.</w:t>
      </w:r>
      <w:r>
        <w:t xml:space="preserve"> </w:t>
      </w:r>
      <w:r>
        <w:t xml:space="preserve">New insulation of magnet wire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insulation of magnet wire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coating line for insulation of magnet wire.</w:t>
      </w:r>
    </w:p>
    <w:p>
      <w:pPr>
        <w:pStyle w:val="kar_subsection"/>
      </w:pPr>
      <w:r>
        <w:t xml:space="preserve">(2)</w:t>
      </w:r>
      <w:r>
        <w:t xml:space="preserve"> </w:t>
      </w:r>
      <w:r>
        <w:t xml:space="preserve">"Applicator" means the mechanism or device used to apply the coating, including but not limited to a coating bath.</w:t>
      </w:r>
    </w:p>
    <w:p>
      <w:pPr>
        <w:pStyle w:val="kar_subsection"/>
      </w:pPr>
      <w:r>
        <w:t xml:space="preserve">(3)</w:t>
      </w:r>
      <w:r>
        <w:t xml:space="preserve"> </w:t>
      </w:r>
      <w:r>
        <w:t xml:space="preserve">"Coating die" means the device, located between the applicator and the drying oven, which scrapes off excess coating and leaves a thin film of desired thickness.</w:t>
      </w:r>
    </w:p>
    <w:p>
      <w:pPr>
        <w:pStyle w:val="kar_subsection"/>
      </w:pPr>
      <w:r>
        <w:t xml:space="preserve">(4)</w:t>
      </w:r>
      <w:r>
        <w:t xml:space="preserve"> </w:t>
      </w:r>
      <w:r>
        <w:t xml:space="preserve">"Magnet wire" means wire used in equipment such as electrical motors, generators, and transformers which carries an electrical current.</w:t>
      </w:r>
    </w:p>
    <w:p>
      <w:pPr>
        <w:pStyle w:val="kar_subsection"/>
      </w:pPr>
      <w:r>
        <w:t xml:space="preserve">(5)</w:t>
      </w:r>
      <w:r>
        <w:t xml:space="preserve"> </w:t>
      </w:r>
      <w:r>
        <w:t xml:space="preserve">"Coating line" means a series of equipment or operations used to apply, dry, or cure any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coating die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coating line, its VOC emissions shall be assigned to each coating line of which it is a part proportionally to the throughput of VOC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subsection"/>
      </w:pPr>
      <w:r>
        <w:t xml:space="preserve">(6)</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(7)</w:t>
      </w:r>
      <w:r>
        <w:t xml:space="preserve"> </w:t>
      </w:r>
      <w:r>
        <w:t xml:space="preserve">"Classification date" means June 29, 1979.</w:t>
      </w:r>
    </w:p>
    <w:p>
      <w:pPr>
        <w:pStyle w:val="kar_subsection"/>
      </w:pPr>
      <w:r>
        <w:t xml:space="preserve">(8)</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permits more than one (1) interpretation of this definition, the interpretation that results in the minimum value for allowable emission shall apply.</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 in all ozone nonattainment areas except marginal.</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40 CFR 60, Appendix A,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coatings,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June 29, 1979,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any reason other than construction, modification, or reconstruction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Any affected facility shall be exempt from Section 3 of this administrative regulation if the VOC content of the coating is less than two-tenths (0.20) kg/l of coating (one and seven-tenths (1.7) lb/gal), excluding water or exempt solvent or both, delivered to the applicators associated with the coating line.</w:t>
      </w:r>
    </w:p>
    <w:p>
      <w:pPr>
        <w:pStyle w:val="kar_subsection"/>
      </w:pPr>
      <w:r>
        <w:t xml:space="preserve">(2)</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(or maximum production) and 8,760 hour/year before add-on control.</w:t>
      </w:r>
    </w:p>
    <w:p>
      <w:pPr>
        <w:pStyle w:val="kar_subsection"/>
      </w:pPr>
      <w:r>
        <w:t xml:space="preserve">(3)</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059:190. 5 Ky.R. 457; 6 Ky.R. 20; eff. 6-29-1979; 18 Ky.R. 2619; 2938; 3342; eff. 6-24-1992; TAm eff. 8-9-2007; Crt eff. 11-21-2018; TAm eff. 2-14-2019; Crt eff. 11-5-2025.)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5789ecf09a4e5c" /><Relationship Type="http://schemas.openxmlformats.org/officeDocument/2006/relationships/settings" Target="/word/settings.xml" Id="Rb940ae7ac2b346e4" /></Relationships>
</file>