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0df6194a6c43a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9:030.</w:t>
      </w:r>
      <w:r>
        <w:t xml:space="preserve"> </w:t>
      </w:r>
      <w:r>
        <w:t xml:space="preserve">Professional certificate for college faculty.</w:t>
      </w:r>
    </w:p>
    <w:p>
      <w:pPr>
        <w:pStyle w:val="kar_markup_metadata"/>
      </w:pPr>
      <w:r>
        <w:t xml:space="preserve">RELATES TO: </w:t>
      </w:r>
      <w:r>
        <w:t xml:space="preserve">KRS 160.380(5)(c), 161.020, 161.028, 161.030, 161.048</w:t>
      </w:r>
    </w:p>
    <w:p>
      <w:pPr>
        <w:pStyle w:val="kar_markup_metadata"/>
      </w:pPr>
      <w:r>
        <w:t xml:space="preserve">STATUTORY AUTHORITY: </w:t>
      </w:r>
      <w:r>
        <w:t xml:space="preserve">KRS 161.028, 161.030, 161.048</w:t>
      </w:r>
    </w:p>
    <w:p>
      <w:pPr>
        <w:pStyle w:val="kar_markup_metadata"/>
      </w:pPr>
      <w:r>
        <w:t xml:space="preserve">NECESSITY, FUNCTION, AND CONFORMITY: </w:t>
      </w:r>
      <w:r>
        <w:t xml:space="preserve">KRS 161.048 authorizes the eligibility requirements for a candidate seeking to participate in an alternative teacher preparation program. This administrative regulation establishes the requirements for and renewal of the professional certificate for college faculty.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Prerequisites.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 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An eligible candidate who meets the requirements of KRS 161.048(4)(a) and (b) shall be issued a statement of eligibility for the professional certificate for college faculty valid for five (5) years.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Application for the statement of eligibility for the professional certificate for college faculty shall be made on Form CA-194.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Upon confirmation of employment in an assignment for the grade level and specialization identified on the statement of eligibility, a provisional teaching certificate shall be issued.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Upon successful completion of the Kentucky Teacher Internship Program as provided in KRS 161.030 and 16 KAR 7:010, the professional certificate for college faculty shall be issued for an additional four (4) years.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Renewal. Each five (5) year renewal of the professional certificate for college faculty shall require: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Three (3) years of successful classroom teaching experience; or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Six (6) semester hours of additional graduate credit.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Equivalent College Teaching Experience.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Ninety (90) semester credit hours taught at the postsecondary level at a regionally- or nationally-accredited institution of higher education shall be accepted as the equivalent of five (5) years of full-time teaching experience.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ninety (90) hours of college teaching experience may: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Be accumulated at more than one (1) institution of higher education;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Include part-time teaching or adjunct teaching positions.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 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full-time faculty member's experience at a regionally- or nationally-accredited institution of higher education may include the following activities in lieu of regular full-time teaching experience as established in subsection (1) of this section: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Action research;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Service to the P-12 schools; or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Other activities undertaken as part of a full-time faculty member's assigned responsibilities at the institution of higher education.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head of the faculty member's unit shall verify the validity of the experiences or responsibilities in this subsection in lieu of regular full-time teaching load on a per semester basis.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An applicant for a professional certificate for college faculty who is not currently certified as an educator in Kentucky shall submit a national and state criminal background check performed in accordance with KRS 160.380(5)(c) within twelve (12) months prior to the date of application.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"Form CA-194", 08/15, is incorporated by reference.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Education Professional Standards Board, 100 Airport Road, 3rd Floor, Frankfort, Kentucky 40601, Monday through Friday, 8 a.m. to 4:30 p.m.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(23 Ky.R. 3459; Am. 3768; eff. 5-12-1997; 28 Ky.R. 1497; 1828; eff. 2-11-2002; recodified from 704 KAR 20:555, 7-2-2002; 42 Ky.R. 811; 1453; eff. 12-4-2015; Cert. to be Amended, filing deadline 6-1-2024.)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6133513c064b59" /><Relationship Type="http://schemas.openxmlformats.org/officeDocument/2006/relationships/settings" Target="/word/settings.xml" Id="R4d6587588f7145b8" /></Relationships>
</file>