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981d6dfce24036" /></Relationships>
</file>

<file path=word/document.xml><?xml version="1.0" encoding="utf-8"?>
<w:document xmlns:w="http://schemas.openxmlformats.org/wordprocessingml/2006/main">
  <w:body>
    <w:p>
      <w:pPr>
        <w:pStyle w:val="kar_citation"/>
      </w:pPr>
      <w:r>
        <w:t>401 KAR 61:090.</w:t>
      </w:r>
      <w:r>
        <w:t xml:space="preserve"> </w:t>
      </w:r>
      <w:r>
        <w:t xml:space="preserve">Existing automobile and light-duty truck surface coating operations.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automobile and light-duty truck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for automobile and light-duty truck frames, small parts, wheels, and main body parts at an assembly plant but does not include the following:</w:t>
      </w:r>
    </w:p>
    <w:p>
      <w:pPr>
        <w:pStyle w:val="kar_paragraph"/>
      </w:pPr>
      <w:r>
        <w:t xml:space="preserve">(a)</w:t>
      </w:r>
      <w:r>
        <w:t xml:space="preserve"> </w:t>
      </w:r>
      <w:r>
        <w:t xml:space="preserve">Underbottom-sound deadener coatings;</w:t>
      </w:r>
    </w:p>
    <w:p>
      <w:pPr>
        <w:pStyle w:val="kar_paragraph"/>
      </w:pPr>
      <w:r>
        <w:t xml:space="preserve">(b)</w:t>
      </w:r>
      <w:r>
        <w:t xml:space="preserve"> </w:t>
      </w:r>
      <w:r>
        <w:t xml:space="preserve">Zinc rich antirust and weld line antirust prime coatings;</w:t>
      </w:r>
    </w:p>
    <w:p>
      <w:pPr>
        <w:pStyle w:val="kar_paragraph"/>
      </w:pPr>
      <w:r>
        <w:t xml:space="preserve">(c)</w:t>
      </w:r>
      <w:r>
        <w:t xml:space="preserve"> </w:t>
      </w:r>
      <w:r>
        <w:t xml:space="preserve">Adhesive coatings or mastics;</w:t>
      </w:r>
    </w:p>
    <w:p>
      <w:pPr>
        <w:pStyle w:val="kar_paragraph"/>
      </w:pPr>
      <w:r>
        <w:t xml:space="preserve">(d)</w:t>
      </w:r>
      <w:r>
        <w:t xml:space="preserve"> </w:t>
      </w:r>
      <w:r>
        <w:t xml:space="preserve">Flexible coatings;</w:t>
      </w:r>
    </w:p>
    <w:p>
      <w:pPr>
        <w:pStyle w:val="kar_paragraph"/>
      </w:pPr>
      <w:r>
        <w:t xml:space="preserve">(e)</w:t>
      </w:r>
      <w:r>
        <w:t xml:space="preserve"> </w:t>
      </w:r>
      <w:r>
        <w:t xml:space="preserve">Plastic body fillers or caulks; or</w:t>
      </w:r>
    </w:p>
    <w:p>
      <w:pPr>
        <w:pStyle w:val="kar_paragraph"/>
      </w:pPr>
      <w:r>
        <w:t xml:space="preserve">(f)</w:t>
      </w:r>
      <w:r>
        <w:t xml:space="preserve"> </w:t>
      </w:r>
      <w:r>
        <w:t xml:space="preserve">Interior coatings which are applied after upholstery and interior plastic parts are attached to the body.</w:t>
      </w:r>
    </w:p>
    <w:p>
      <w:pPr>
        <w:pStyle w:val="kar_subsection"/>
      </w:pPr>
      <w:r>
        <w:t xml:space="preserve">(2)</w:t>
      </w:r>
      <w:r>
        <w:t xml:space="preserve"> </w:t>
      </w:r>
      <w:r>
        <w:t xml:space="preserve">"Applicator" means the mechanism or device used to apply the coating, including, but not limited to dipping and spraying.</w:t>
      </w:r>
    </w:p>
    <w:p>
      <w:pPr>
        <w:pStyle w:val="kar_subsection"/>
      </w:pPr>
      <w:r>
        <w:t xml:space="preserve">(3)</w:t>
      </w:r>
      <w:r>
        <w:t xml:space="preserve"> </w:t>
      </w:r>
      <w:r>
        <w:t xml:space="preserve">"Automobile" means all passenger cars or passenger car derivatives capable of seating twelve (12) or fewer passengers.</w:t>
      </w:r>
    </w:p>
    <w:p>
      <w:pPr>
        <w:pStyle w:val="kar_subsection"/>
      </w:pPr>
      <w:r>
        <w:t xml:space="preserve">(4)</w:t>
      </w:r>
      <w:r>
        <w:t xml:space="preserve"> </w:t>
      </w:r>
      <w:r>
        <w:t xml:space="preserve">"Classification date" means June 29, 1979.</w:t>
      </w:r>
    </w:p>
    <w:p>
      <w:pPr>
        <w:pStyle w:val="kar_subsection"/>
      </w:pPr>
      <w:r>
        <w:t xml:space="preserve">(5)</w:t>
      </w:r>
      <w:r>
        <w:t xml:space="preserve"> </w:t>
      </w:r>
      <w:r>
        <w:t xml:space="preserve">"Coating line" means a series of equipment or operations used to apply, dry, or cure any prime, topcoat or repair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coating line, its VOC emissions shall be assigned to each coating line of which it is a part proportionally to the throughput of VOC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subsection"/>
      </w:pPr>
      <w:r>
        <w:t xml:space="preserve">(6)</w:t>
      </w:r>
      <w:r>
        <w:t xml:space="preserve"> </w:t>
      </w:r>
      <w:r>
        <w:t xml:space="preserve">"Final repair coating line" means a coating line for the repainting of any coatings which are damaged during vehicle assembly.</w:t>
      </w:r>
    </w:p>
    <w:p>
      <w:pPr>
        <w:pStyle w:val="kar_subsection"/>
      </w:pPr>
      <w:r>
        <w:t xml:space="preserve">(7)</w:t>
      </w:r>
      <w:r>
        <w:t xml:space="preserve"> </w:t>
      </w:r>
      <w:r>
        <w:t xml:space="preserve">"Flash-off area" means the space between the application area and the oven.</w:t>
      </w:r>
    </w:p>
    <w:p>
      <w:pPr>
        <w:pStyle w:val="kar_subsection"/>
      </w:pPr>
      <w:r>
        <w:t xml:space="preserve">(8)</w:t>
      </w:r>
      <w:r>
        <w:t xml:space="preserve"> </w:t>
      </w:r>
      <w:r>
        <w:t xml:space="preserve">"Light-duty truck" means all motor vehicles rated at 3,864 kilograms (8,500 pounds) gross vehicle weight or less which is designed primarily for purposes of transportation of property or are derivatives of these vehicles (including, but not limited to, pickups, vans, and window vans).</w:t>
      </w:r>
    </w:p>
    <w:p>
      <w:pPr>
        <w:pStyle w:val="kar_subsection"/>
      </w:pPr>
      <w:r>
        <w:t xml:space="preserve">(9)</w:t>
      </w:r>
      <w:r>
        <w:t xml:space="preserve"> </w:t>
      </w:r>
      <w:r>
        <w:t xml:space="preserve">"Prime coat coating line" means a coating line for the first coating and surfacer which are responsible for protecting the surface from corrosion and providing for good adhesion of the topcoat.</w:t>
      </w:r>
    </w:p>
    <w:p>
      <w:pPr>
        <w:pStyle w:val="kar_subsection"/>
      </w:pPr>
      <w:r>
        <w:t xml:space="preserve">(10)</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(11)</w:t>
      </w:r>
      <w:r>
        <w:t xml:space="preserve"> </w:t>
      </w:r>
      <w:r>
        <w:t xml:space="preserve">"Topcoat coating line" means a coating line for the coating of the surface to obtain desired aesthetic effects.</w:t>
      </w:r>
    </w:p>
    <w:p>
      <w:pPr>
        <w:pStyle w:val="kar_subsection"/>
      </w:pPr>
      <w:r>
        <w:t xml:space="preserve">(12)</w:t>
      </w:r>
      <w:r>
        <w:t xml:space="preserve"> </w:t>
      </w:r>
      <w:r>
        <w:t xml:space="preserve">"Surfacer" means the spray application of primer to touchup areas on the surface not adequately covered during electrodeposition.</w:t>
      </w:r>
    </w:p>
    <w:p>
      <w:pPr>
        <w:pStyle w:val="kar_subsection"/>
      </w:pPr>
      <w:r>
        <w:t xml:space="preserve">(13)</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When the nature of any operation or design of equipment permits more than one (1) interpretation of this definition, the interpretation that results in the minimum value for allowable emission shall apply.</w:t>
      </w:r>
    </w:p>
    <w:p>
      <w:pPr>
        <w:pStyle w:val="kar_subsection"/>
      </w:pPr>
      <w:r>
        <w:t xml:space="preserve">(14)</w:t>
      </w:r>
      <w:r>
        <w:t xml:space="preserve"> </w:t>
      </w:r>
      <w:r>
        <w:t xml:space="preserve">"Electrophoretic deposition" means a process of applying a coating by dipping the component in a coating bath with an electrical potential difference between the component and the bath.</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ubsection"/>
      </w:pPr>
      <w:r>
        <w:t xml:space="preserve">(2)</w:t>
      </w:r>
      <w:r>
        <w:t xml:space="preserve"> </w:t>
      </w:r>
      <w:r>
        <w:t xml:space="preserve">This administrative regulation shall not apply to affected facilities which are subject to local air pollution control district regulations which have been approved by the cabinet and the U.S. EPA.</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If applicable, compliance is determined by "Protocol for Determining the Daily Volatile Organic Compound Emission Rate of Automobile and Light-Duty Truck Topcoat Operations", which has been incorporated by reference in Section 7 of this administrative regulation.</w:t>
      </w:r>
    </w:p>
    <w:p>
      <w:pPr>
        <w:pStyle w:val="kar_subsection"/>
      </w:pPr>
      <w:r>
        <w:t xml:space="preserve">(2)</w:t>
      </w:r>
      <w:r>
        <w:t xml:space="preserve"> </w:t>
      </w:r>
      <w:r>
        <w:t xml:space="preserve">In all cases the design of any control system shall be subject to approval by the cabinet.</w:t>
      </w:r>
    </w:p>
    <w:p>
      <w:pPr>
        <w:pStyle w:val="kar_subsection"/>
      </w:pPr>
      <w:r>
        <w:t xml:space="preserve">(3)</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(4)</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(5)</w:t>
      </w:r>
      <w:r>
        <w:t xml:space="preserve"> </w:t>
      </w:r>
      <w:r>
        <w:t xml:space="preserve">If deemed necessary by the cabinet, the cabinet shall obtain samples of the coatings used at an affected facility to verify that the coatings meet the requirements in Section 6 of this administrative regulation.</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June 29, 1979, shall have achieved final compliance by January 1, 1983, for prime coatings systems and final repair systems and by January 1, 1986, for topcoat systems.</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Prime coatings systems, topcoat systems, and final repair coating systems except as provided for in paragraph (b) of this subsection:</w:t>
      </w:r>
    </w:p>
    <w:p>
      <w:pPr>
        <w:pStyle w:val="kar_subparagraph"/>
      </w:pPr>
      <w:r>
        <w:t xml:space="preserve">1.</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subparagraph"/>
      </w:pPr>
      <w:r>
        <w:t xml:space="preserve">2.</w:t>
      </w:r>
      <w:r>
        <w:t xml:space="preserve"> </w:t>
      </w:r>
      <w:r>
        <w:t xml:space="preserve">The control system contract or the exempt coatings contracts and purchase orders shall be awarded no later than eleven (11) months after the date the affected facility becomes subject to this administrative regulation.</w:t>
      </w:r>
    </w:p>
    <w:p>
      <w:pPr>
        <w:pStyle w:val="kar_subparagraph"/>
      </w:pPr>
      <w:r>
        <w:t xml:space="preserve">3.</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subparagraph"/>
      </w:pPr>
      <w:r>
        <w:t xml:space="preserve">4.</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subparagraph"/>
      </w:pPr>
      <w:r>
        <w:t xml:space="preserve">5.</w:t>
      </w:r>
      <w:r>
        <w:t xml:space="preserve"> </w:t>
      </w:r>
      <w:r>
        <w:t xml:space="preserve">Final compliance shall be achieved no later than eighteen (18) months after the date the affected facility becomes subject to this administrative regulation.</w:t>
      </w:r>
    </w:p>
    <w:p>
      <w:pPr>
        <w:pStyle w:val="kar_subparagraph"/>
      </w:pPr>
      <w:r>
        <w:t xml:space="preserve">6.</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paragraph"/>
      </w:pPr>
      <w:r>
        <w:t xml:space="preserve">(b)</w:t>
      </w:r>
      <w:r>
        <w:t xml:space="preserve"> </w:t>
      </w:r>
      <w:r>
        <w:t xml:space="preserve">Prime coating lines which are using electrophoretic deposition on or before the effective date of this administrative regulation shall be in compliance on the effective date of this administrative regulation.</w:t>
      </w:r>
    </w:p>
    <w:p>
      <w:pPr>
        <w:pStyle w:val="kar_section"/>
      </w:pPr>
      <w:r>
        <w:t xml:space="preserve">Section 6.</w:t>
      </w:r>
      <w:r>
        <w:t xml:space="preserve"> </w:t>
      </w:r>
      <w:r>
        <w:t xml:space="preserve">Exemptions.</w:t>
      </w:r>
    </w:p>
    <w:p>
      <w:pPr>
        <w:pStyle w:val="kar_subsection"/>
      </w:pPr>
      <w:r>
        <w:t xml:space="preserve">(1)</w:t>
      </w:r>
      <w:r>
        <w:t xml:space="preserve"> </w:t>
      </w:r>
      <w:r>
        <w:t xml:space="preserve">Any affected facility shall be exempt from Section 3 of this administrative regulation if the VOC content of the coating is:</w:t>
      </w:r>
    </w:p>
    <w:p>
      <w:pPr>
        <w:pStyle w:val="kar_paragraph"/>
      </w:pPr>
      <w:r>
        <w:t xml:space="preserve">(a)</w:t>
      </w:r>
      <w:r>
        <w:t xml:space="preserve"> </w:t>
      </w:r>
      <w:r>
        <w:t xml:space="preserve">Prime coating line: 0.14 kg/l of coating (one and two-tenths (1.2) lb/gal), excluding water or exempt solvent or both, which shall be applied by electrophoretic deposition and 0.34 kg/l of coating (two and eight-tenths (2.8) lb/gal), excluding water or exempt solvent or both, delivered to the applicators associated with the surfacer. An alternative for the surfacer is fifty-five (55) percent solids by volume organic-borne prime coat applied with a minimum of sixty-five (65) percent transfer efficiency, or one and nine-tenths (1.9) kg/l (fifteen and one-tenth (15.1) lb/gal) of solids deposited. An alternative for the prime coating line is an organic borne prime coat consisting of a minimum of fifty-five (55) percent solids by volume which is applied with a minimum of fifty (50) percent transfer efficiency.</w:t>
      </w:r>
    </w:p>
    <w:p>
      <w:pPr>
        <w:pStyle w:val="kar_paragraph"/>
      </w:pPr>
      <w:r>
        <w:t xml:space="preserve">(b)</w:t>
      </w:r>
      <w:r>
        <w:t xml:space="preserve"> </w:t>
      </w:r>
      <w:r>
        <w:t xml:space="preserve">Topcoat coating line: 0.34 kg/l of coating (two and eight-tenths (2.8) lb/gal), excluding water or exempt solvent or both, delivered to the applicator(s) associated with the topcoat coating line or a fifty (50) percent solids by volume organic-borne topcoat applied with a minimum of sixty-five (65) percent transfer efficiency, or one and nine-tenths (1.9) kg/l (fifteen and one-tenth (15.1) lb/gal) of solids deposited.</w:t>
      </w:r>
    </w:p>
    <w:p>
      <w:pPr>
        <w:pStyle w:val="kar_paragraph"/>
      </w:pPr>
      <w:r>
        <w:t xml:space="preserve">(c)</w:t>
      </w:r>
      <w:r>
        <w:t xml:space="preserve"> </w:t>
      </w:r>
      <w:r>
        <w:t xml:space="preserve">Repair coating line: 0.58 kg/l of coating (four and eight-tenths (4.8) lb/gal), excluding water or exempt solvent or both, as delivered to the applicator applied with a minimum of sixty-five (65) percent transfer efficiency.</w:t>
      </w:r>
    </w:p>
    <w:p>
      <w:pPr>
        <w:pStyle w:val="kar_subsection"/>
      </w:pPr>
      <w:r>
        <w:t xml:space="preserve">(2)</w:t>
      </w:r>
      <w:r>
        <w:t xml:space="preserve"> </w:t>
      </w:r>
      <w:r>
        <w:t xml:space="preserve">Any affected facility using this section may elect to use a weighted average of the coatings used in the particular coating line involved. If this average meets the exemption then all the coatings shall be considered to meet the exemption.</w:t>
      </w:r>
    </w:p>
    <w:p>
      <w:pPr>
        <w:pStyle w:val="kar_subsection"/>
      </w:pPr>
      <w:r>
        <w:t xml:space="preserve">(3)</w:t>
      </w:r>
      <w:r>
        <w:t xml:space="preserve"> </w:t>
      </w:r>
      <w:r>
        <w:t xml:space="preserve">The exemptions specified in this section may be achieved by:</w:t>
      </w:r>
    </w:p>
    <w:p>
      <w:pPr>
        <w:pStyle w:val="kar_paragraph"/>
      </w:pPr>
      <w:r>
        <w:t xml:space="preserve">(a)</w:t>
      </w:r>
      <w:r>
        <w:t xml:space="preserve"> </w:t>
      </w:r>
      <w:r>
        <w:t xml:space="preserve">Use of low solvent coating; or</w:t>
      </w:r>
    </w:p>
    <w:p>
      <w:pPr>
        <w:pStyle w:val="kar_paragraph"/>
      </w:pPr>
      <w:r>
        <w:t xml:space="preserve">(b)</w:t>
      </w:r>
      <w:r>
        <w:t xml:space="preserve"> </w:t>
      </w:r>
      <w:r>
        <w:t xml:space="preserve">Any other emission reduction process or equipment shown to be as effective.</w:t>
      </w:r>
    </w:p>
    <w:p>
      <w:pPr>
        <w:pStyle w:val="kar_subsection"/>
      </w:pPr>
      <w:r>
        <w:t xml:space="preserve">(4)</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section"/>
      </w:pPr>
      <w:r>
        <w:t xml:space="preserve">Section 7.</w:t>
      </w:r>
      <w:r>
        <w:t xml:space="preserve"> </w:t>
      </w:r>
      <w:r>
        <w:t xml:space="preserve">Reference Material.</w:t>
      </w:r>
    </w:p>
    <w:p>
      <w:pPr>
        <w:pStyle w:val="kar_subsection"/>
      </w:pPr>
      <w:r>
        <w:t xml:space="preserve">(1)</w:t>
      </w:r>
      <w:r>
        <w:t xml:space="preserve"> </w:t>
      </w:r>
      <w:r>
        <w:t xml:space="preserve">Incorporation by Reference. The following document is incorporated by reference: "Protocol for Determining the Daily Volatile Organic Compound Emission Rate of Automobile and Light Duty Truck Topcoat Operations," EPA-450/3-88-018, December 1988, available from U.S. Environmental Protection Agency, Office of Air Quality Planning and Standards, Research Triangle Park, North Carolina 27711 and the U.S. Department of Commerce, National Technical Information Service, Springfield, Virginia 22161.</w:t>
      </w:r>
    </w:p>
    <w:p>
      <w:pPr>
        <w:pStyle w:val="kar_subsection"/>
      </w:pPr>
      <w:r>
        <w:t xml:space="preserve">(2)</w:t>
      </w:r>
      <w:r>
        <w:t xml:space="preserve"> </w:t>
      </w:r>
      <w:r>
        <w:t xml:space="preserve">The document incorporated by reference in subsection (1) of this section is available for public inspection and copying, subject to copyright law, at the following main and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564-3999(502) 573-3382;</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South Main Street, London, Kentucky 40741, (606) 330-2080;</w:t>
      </w:r>
    </w:p>
    <w:p>
      <w:pPr>
        <w:pStyle w:val="kar_paragraph"/>
      </w:pPr>
      <w:r>
        <w:t xml:space="preserve">(g)</w:t>
      </w:r>
      <w:r>
        <w:t xml:space="preserve"> </w:t>
      </w:r>
      <w:r>
        <w:t xml:space="preserve">Owensboro Regional Office, 3032 Alvey Park Drive West, Suite 700, Owensboro, Kentucky 42303, (270) 687-7304; and</w:t>
      </w:r>
    </w:p>
    <w:p>
      <w:pPr>
        <w:pStyle w:val="kar_paragraph"/>
      </w:pPr>
      <w:r>
        <w:t xml:space="preserve">(h)</w:t>
      </w:r>
      <w:r>
        <w:t xml:space="preserve"> </w:t>
      </w:r>
      <w:r>
        <w:t xml:space="preserve">Paducah Regional Office, 130 Eagle Nest Drive, Paducah, Kentucky 42003, (270) 898-8468.</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494; 6 Ky.R. 37; eff. 6-29-1979; 18 Ky.R. 2643; 2953; 3359; eff. 6-24-1992; TAm eff. 8-9-2007; TAm 5-20-2010; TAm eff. 7-8-2016;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1c0f5e1e348fa" /><Relationship Type="http://schemas.openxmlformats.org/officeDocument/2006/relationships/settings" Target="/word/settings.xml" Id="R829c347e592f4886" /></Relationships>
</file>