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cca681f56f4d08" /></Relationships>
</file>

<file path=word/document.xml><?xml version="1.0" encoding="utf-8"?>
<w:document xmlns:w="http://schemas.openxmlformats.org/wordprocessingml/2006/main">
  <w:body>
    <w:p>
      <w:pPr>
        <w:pStyle w:val="kar_citation"/>
      </w:pPr>
      <w:r>
        <w:t>401 KAR 61:105.</w:t>
      </w:r>
      <w:r>
        <w:t xml:space="preserve"> </w:t>
      </w:r>
      <w:r>
        <w:t xml:space="preserve">Existing metal furniture surface coating operations.</w:t>
      </w:r>
    </w:p>
    <w:p>
      <w:pPr>
        <w:pStyle w:val="kar_markup_metadata"/>
      </w:pPr>
      <w:r>
        <w:t xml:space="preserve">RELATES TO: </w:t>
      </w:r>
      <w:r>
        <w:t xml:space="preserve">KRS 224.20-100, 224.20-110, 224.20-120, 40 C.F.R. 60 Appendix A (Method 24),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metal furniture surface coating operations.</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a coating line for indoor or outdoor metal furniture.</w:t>
      </w:r>
    </w:p>
    <w:p>
      <w:pPr>
        <w:pStyle w:val="kar_subsection"/>
      </w:pPr>
      <w:r>
        <w:t xml:space="preserve">(2)</w:t>
      </w:r>
      <w:r>
        <w:t xml:space="preserve"> </w:t>
      </w:r>
      <w:r>
        <w:t xml:space="preserve">"Applicator" means the mechanism or device used to apply the coating, including, but not limited to, dipping, spraying, or flow coating.</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"Prime coat" means the first film of coating applied in a two (2) coat operation which is responsible for protecting the surface from corrosion and providing for good adhesion of the topcoat.</w:t>
      </w:r>
    </w:p>
    <w:p>
      <w:pPr>
        <w:pStyle w:val="kar_subsection"/>
      </w:pPr>
      <w:r>
        <w:t xml:space="preserve">(5)</w:t>
      </w:r>
      <w:r>
        <w:t xml:space="preserve"> </w:t>
      </w:r>
      <w:r>
        <w:t xml:space="preserve">"Topcoat" means the final film of coating applied in a two (2) coat operation to obtain desired aesthetic effects.</w:t>
      </w:r>
    </w:p>
    <w:p>
      <w:pPr>
        <w:pStyle w:val="kar_subsection"/>
      </w:pPr>
      <w:r>
        <w:t xml:space="preserve">(6)</w:t>
      </w:r>
      <w:r>
        <w:t xml:space="preserve"> </w:t>
      </w:r>
      <w:r>
        <w:t xml:space="preserve">"Single coat" means a single film coating applied directly to the metal substrate omitting the prime coat.</w:t>
      </w:r>
    </w:p>
    <w:p>
      <w:pPr>
        <w:pStyle w:val="kar_subsection"/>
      </w:pPr>
      <w:r>
        <w:t xml:space="preserve">(7)</w:t>
      </w:r>
      <w:r>
        <w:t xml:space="preserve"> </w:t>
      </w:r>
      <w:r>
        <w:t xml:space="preserve">"Coating line" means a series of equipment or operations used to apply, dry, or cure any prime, topcoat or single coatings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any equipment or operation is considered to be a part of more than one (1) coating line, its VOC emissions shall be assigned to each coating line of which it is a part proportionally to the throughput of VOCs it receives from or distributes to each coating line;</w:t>
      </w:r>
    </w:p>
    <w:p>
      <w:pPr>
        <w:pStyle w:val="kar_paragraph"/>
      </w:pPr>
      <w:r>
        <w:t xml:space="preserve">(i)</w:t>
      </w:r>
      <w:r>
        <w:t xml:space="preserve"> </w:t>
      </w:r>
      <w:r>
        <w:t xml:space="preserve">If any portion of the series of equipment or operations qualifies for an exemption according to Section 6 of this administrative regulation, then that portion shall be considered to be a separate coating line.</w:t>
      </w:r>
    </w:p>
    <w:p>
      <w:pPr>
        <w:pStyle w:val="kar_subsection"/>
      </w:pPr>
      <w:r>
        <w:t xml:space="preserve">(8)</w:t>
      </w:r>
      <w:r>
        <w:t xml:space="preserve"> </w:t>
      </w:r>
      <w:r>
        <w:t xml:space="preserve">"Process storage" means mixing tanks, holding tanks, and other tanks, drums, or other containers which contain surface coatings, VOCs, or recovered VOCs; but does not mean storage tanks of petroleum liquids which are subject to 401 KAR 59:050, 401 KAR 59:052, or 401 KAR 61:050.</w:t>
      </w:r>
    </w:p>
    <w:p>
      <w:pPr>
        <w:pStyle w:val="kar_subsection"/>
      </w:pPr>
      <w:r>
        <w:t xml:space="preserve">(9)</w:t>
      </w:r>
      <w:r>
        <w:t xml:space="preserve"> </w:t>
      </w:r>
      <w:r>
        <w:t xml:space="preserve">"Metal furniture" means household and business items including but not limited to tables, chairs, waste baskets, beds, desks, lockers, benches, shelving, file cabinets, lamps and room dividers.</w:t>
      </w:r>
    </w:p>
    <w:p>
      <w:pPr>
        <w:pStyle w:val="kar_subsection"/>
      </w:pPr>
      <w:r>
        <w:t xml:space="preserve">(10)</w:t>
      </w:r>
      <w:r>
        <w:t xml:space="preserve"> </w:t>
      </w:r>
      <w:r>
        <w:t xml:space="preserve">"Classification date" means June 29, 1979.</w:t>
      </w:r>
    </w:p>
    <w:p>
      <w:pPr>
        <w:pStyle w:val="kar_subsection"/>
      </w:pPr>
      <w:r>
        <w:t xml:space="preserve">(11)</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When the nature of any operation or design of equipment to permit more than one (1) interpretation of this definition, the interpretation that results in the minimum value for allowable emission shall apply.</w:t>
      </w:r>
    </w:p>
    <w:p>
      <w:pPr>
        <w:pStyle w:val="kar_section"/>
      </w:pPr>
      <w:r>
        <w:t xml:space="preserve">Section 2.</w:t>
      </w:r>
      <w:r>
        <w:t xml:space="preserve"> </w:t>
      </w:r>
      <w:r>
        <w:t xml:space="preserve">Applicability. 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 No person shall cause, allow, or permit an affected facility to discharge into the atmosphere more than fifteen (15)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any control system shall be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any other factors that may influence the performance of the system. If requested by the cabinet, performance tests specified by the cabinet shall be conducted to determine the efficiency of the control device. Capture efficiency shall be determined by procedures specified in 401 KAR 50:047.</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coatings used at an affected facility to verify that the coatings meet the requirements in Section 6 of this administrative regulation. Appendix A to 40 CFR 60, Method 24, which has been incorporated by reference in 401 KAR 50:015, shall be used as applicable to determine compliance of the coatings, unless the cabinet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Compliance on one (1) coating line with VOC emission limits shall be based on an averaging period not to exceed twenty-four (24) hours. If it is not economically or technically feasible to determine emissions on a daily basis, alternatives expressing emission limits for longer averaging times may be accepted if approved by the cabinet. Case-by-case alternatives approved by the cabinet, but not previously authorized by the U.S. EPA, shall be submitted to the U.S. EPA as a SIP revision.</w:t>
      </w:r>
    </w:p>
    <w:p>
      <w:pPr>
        <w:pStyle w:val="kar_subsection"/>
      </w:pPr>
      <w:r>
        <w:t xml:space="preserve">(6)</w:t>
      </w:r>
      <w:r>
        <w:t xml:space="preserve"> </w:t>
      </w:r>
      <w:r>
        <w:t xml:space="preserve">The amount of exempt solvents shall be subtracted from the amount of coatings, just like water, with the ultimate value of interest being the mass of VOC per unit volume of coating less exempt solvent or water or both.</w:t>
      </w:r>
    </w:p>
    <w:p>
      <w:pPr>
        <w:pStyle w:val="kar_subsection"/>
      </w:pPr>
      <w:r>
        <w:t xml:space="preserve">(7)</w:t>
      </w:r>
      <w:r>
        <w:t xml:space="preserve"> </w:t>
      </w:r>
      <w:r>
        <w:t xml:space="preserve">Calculations to determine equivalency on one (1) coating line shall be based on mass of VOC per volume of solids.</w:t>
      </w:r>
    </w:p>
    <w:p>
      <w:pPr>
        <w:pStyle w:val="kar_subsection"/>
      </w:pPr>
      <w:r>
        <w:t xml:space="preserve">(8)</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adhesive, coating (including catalyst and reducer for multicomponent coatings), or solvent used at each point of application, including exempt compounds;</w:t>
      </w:r>
    </w:p>
    <w:p>
      <w:pPr>
        <w:pStyle w:val="kar_paragraph"/>
      </w:pPr>
      <w:r>
        <w:t xml:space="preserve">(d)</w:t>
      </w:r>
      <w:r>
        <w:t xml:space="preserve"> </w:t>
      </w:r>
      <w:r>
        <w:t xml:space="preserve">The VOC content as applied in each adhesive, coating, or solvent;</w:t>
      </w:r>
    </w:p>
    <w:p>
      <w:pPr>
        <w:pStyle w:val="kar_paragraph"/>
      </w:pPr>
      <w:r>
        <w:t xml:space="preserve">(e)</w:t>
      </w:r>
      <w:r>
        <w:t xml:space="preserve"> </w:t>
      </w:r>
      <w:r>
        <w:t xml:space="preserve">The date for each application for adhesive, coating,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June 29, 1979, shall have achieved final compliance by August 1, 1981.</w:t>
      </w:r>
    </w:p>
    <w:p>
      <w:pPr>
        <w:pStyle w:val="kar_subsection"/>
      </w:pPr>
      <w:r>
        <w:t xml:space="preserve">(2)</w:t>
      </w:r>
      <w:r>
        <w:t xml:space="preserve"> </w:t>
      </w:r>
      <w:r>
        <w:t xml:space="preserve">The owner or operator of an affected facility that becomes subject to this administrative regulation on or after June 24, 1992 shall be required to complete the following:</w:t>
      </w:r>
    </w:p>
    <w:p>
      <w:pPr>
        <w:pStyle w:val="kar_paragraph"/>
      </w:pPr>
      <w:r>
        <w:t xml:space="preserve">(a)</w:t>
      </w:r>
      <w:r>
        <w:t xml:space="preserve"> </w:t>
      </w:r>
      <w:r>
        <w:t xml:space="preserve">A final control plan for achieving compliance with this administrative regulation shall be submitted no later than nine (9) months after the date the affected facility becomes subject to this administrative regulation.</w:t>
      </w:r>
    </w:p>
    <w:p>
      <w:pPr>
        <w:pStyle w:val="kar_paragraph"/>
      </w:pPr>
      <w:r>
        <w:t xml:space="preserve">(b)</w:t>
      </w:r>
      <w:r>
        <w:t xml:space="preserve"> </w:t>
      </w:r>
      <w:r>
        <w:t xml:space="preserve">The control system contract or the exempt coatings and any accompanying process change contracts shall be awarded no later than eleven (11) months after the date the affected facility becomes subject to this administrative regulation.</w:t>
      </w:r>
    </w:p>
    <w:p>
      <w:pPr>
        <w:pStyle w:val="kar_paragraph"/>
      </w:pPr>
      <w:r>
        <w:t xml:space="preserve">(c)</w:t>
      </w:r>
      <w:r>
        <w:t xml:space="preserve"> </w:t>
      </w:r>
      <w:r>
        <w:t xml:space="preserve">On-site construction or installation of emission control equipment or process changes for exempt coatings shall be initiated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coatings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w:t>
      </w:r>
    </w:p>
    <w:p>
      <w:pPr>
        <w:pStyle w:val="kar_subsection"/>
      </w:pPr>
      <w:r>
        <w:t xml:space="preserve">(1)</w:t>
      </w:r>
      <w:r>
        <w:t xml:space="preserve"> </w:t>
      </w:r>
      <w:r>
        <w:t xml:space="preserve">Any affected facility shall be exempt from Section 3 of this administrative regulation if the VOC content of the coating is less than 0.36 kg/l of coating (three (3.0) lb/gal), excluding water or exempt solvent or both, delivered to the applicators associated with the prime, single or topcoat coating line.</w:t>
      </w:r>
    </w:p>
    <w:p>
      <w:pPr>
        <w:pStyle w:val="kar_subsection"/>
      </w:pPr>
      <w:r>
        <w:t xml:space="preserve">(2)</w:t>
      </w:r>
      <w:r>
        <w:t xml:space="preserve"> </w:t>
      </w:r>
      <w:r>
        <w:t xml:space="preserve">An affected facility shall be exempt from this administrative regulation if the total VOC emissions from all affected facilities subject to this administrative regulation are less than or equal to:</w:t>
      </w:r>
    </w:p>
    <w:p>
      <w:pPr>
        <w:pStyle w:val="kar_paragraph"/>
      </w:pPr>
      <w:r>
        <w:t xml:space="preserve">(a)</w:t>
      </w:r>
      <w:r>
        <w:t xml:space="preserve"> </w:t>
      </w:r>
      <w:r>
        <w:t xml:space="preserve">Three (3) lb/hr actual emissions before add-on control;</w:t>
      </w:r>
    </w:p>
    <w:p>
      <w:pPr>
        <w:pStyle w:val="kar_paragraph"/>
      </w:pPr>
      <w:r>
        <w:t xml:space="preserve">(b)</w:t>
      </w:r>
      <w:r>
        <w:t xml:space="preserve"> </w:t>
      </w:r>
      <w:r>
        <w:t xml:space="preserve">Fifteen (15) lb/day actual emissions before add-on control; or</w:t>
      </w:r>
    </w:p>
    <w:p>
      <w:pPr>
        <w:pStyle w:val="kar_paragraph"/>
      </w:pPr>
      <w:r>
        <w:t xml:space="preserve">(c)</w:t>
      </w:r>
      <w:r>
        <w:t xml:space="preserve"> </w:t>
      </w:r>
      <w:r>
        <w:t xml:space="preserve">Ten (10) tons per year theoretical potential emissions based on design capacity (or maximum production) and 8760 hr/yr before add-on control.</w:t>
      </w:r>
    </w:p>
    <w:p>
      <w:pPr>
        <w:pStyle w:val="kar_subsection"/>
      </w:pPr>
      <w:r>
        <w:t xml:space="preserve">(3)</w:t>
      </w:r>
      <w:r>
        <w:t xml:space="preserve"> </w:t>
      </w:r>
      <w:r>
        <w:t xml:space="preserve">Low-use coatings shall be exempt from Section 3 of this administrative regulation if the plantwide consumption of these coatings in the aggregate is less than or equal to fifty-five (55) gallons during the previous twelve (12) months.</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499; 6 Ky.R. 43; eff. 6-29-1979; 18 Ky.R. 2652; 3364; eff. 6-24-1992; TAm eff. 8-9-2007; Crt eff. 1-25-2019; TAm eff. 2-14-2019.)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72d614daf94d35" /><Relationship Type="http://schemas.openxmlformats.org/officeDocument/2006/relationships/settings" Target="/word/settings.xml" Id="Rc86f93568db44679" /></Relationships>
</file>