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215fd075b546fe" /></Relationships>
</file>

<file path=word/document.xml><?xml version="1.0" encoding="utf-8"?>
<w:document xmlns:w="http://schemas.openxmlformats.org/wordprocessingml/2006/main">
  <w:body>
    <w:p>
      <w:pPr>
        <w:pStyle w:val="kar_citation"/>
      </w:pPr>
      <w:r>
        <w:t>401 KAR 61:124.</w:t>
      </w:r>
      <w:r>
        <w:t xml:space="preserve"> </w:t>
      </w:r>
      <w:r>
        <w:t xml:space="preserve">Existing factory surface coating operations of flat wood paneling.</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factory surface coating operations of flat wood paneling.</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the factory surface coating of interior flat wood paneling.</w:t>
      </w:r>
    </w:p>
    <w:p>
      <w:pPr>
        <w:pStyle w:val="kar_subsection"/>
      </w:pPr>
      <w:r>
        <w:t xml:space="preserve">(2)</w:t>
      </w:r>
      <w:r>
        <w:t xml:space="preserve"> </w:t>
      </w:r>
      <w:r>
        <w:t xml:space="preserve">"Applicator" means the mechanism or device used to apply the coating including but not limited to roll coaters, curtain coaters, sprays and brushes.</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"Coating line" means a series of equipment or operations used to apply, dry, or cure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equipment or an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 portion of the series of equipment or operations qualifies for an exemption according to Section 6 of this administrative regulation, then that portion shall be considered to be a separate coating line;</w:t>
      </w:r>
    </w:p>
    <w:p>
      <w:pPr>
        <w:pStyle w:val="kar_subsection"/>
      </w:pPr>
      <w:r>
        <w:t xml:space="preserve">(5)</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(6)</w:t>
      </w:r>
      <w:r>
        <w:t xml:space="preserve"> </w:t>
      </w:r>
      <w:r>
        <w:t xml:space="preserve">"Interior flat wood paneling" means printed interior wall panels made of hardwood plywood and thin particle board, natural finish hardwood plywood panels, or hardboard paneling with Class II finishes.</w:t>
      </w:r>
    </w:p>
    <w:p>
      <w:pPr>
        <w:pStyle w:val="kar_subsection"/>
      </w:pPr>
      <w:r>
        <w:t xml:space="preserve">(7)</w:t>
      </w:r>
      <w:r>
        <w:t xml:space="preserve"> </w:t>
      </w:r>
      <w:r>
        <w:t xml:space="preserve">"Printed panels" means panels whose grain or natural surface is obscured by fillers and basecoats upon which a simulated grain or decorative pattern is printed.</w:t>
      </w:r>
    </w:p>
    <w:p>
      <w:pPr>
        <w:pStyle w:val="kar_subsection"/>
      </w:pPr>
      <w:r>
        <w:t xml:space="preserve">(8)</w:t>
      </w:r>
      <w:r>
        <w:t xml:space="preserve"> </w:t>
      </w:r>
      <w:r>
        <w:t xml:space="preserve">"Hardwood plywood" means plywood whose surface layer is a veneer of hardwood.</w:t>
      </w:r>
    </w:p>
    <w:p>
      <w:pPr>
        <w:pStyle w:val="kar_subsection"/>
      </w:pPr>
      <w:r>
        <w:t xml:space="preserve">(9)</w:t>
      </w:r>
      <w:r>
        <w:t xml:space="preserve"> </w:t>
      </w:r>
      <w:r>
        <w:t xml:space="preserve">"Particle board" means a manufactured board made of individual wood particles which have been coated with a binder and formed into flat sheets by pressure. Thin particle board has a thickness of one-fourth (1/4) inch or less.</w:t>
      </w:r>
    </w:p>
    <w:p>
      <w:pPr>
        <w:pStyle w:val="kar_subsection"/>
      </w:pPr>
      <w:r>
        <w:t xml:space="preserve">(10)</w:t>
      </w:r>
      <w:r>
        <w:t xml:space="preserve"> </w:t>
      </w:r>
      <w:r>
        <w:t xml:space="preserve">"Natural finish hardwood plywood panels" means panels whose original grain pattern is enhanced by essentially transparent finishes frequently supplemented by fillers and toners.</w:t>
      </w:r>
    </w:p>
    <w:p>
      <w:pPr>
        <w:pStyle w:val="kar_subsection"/>
      </w:pPr>
      <w:r>
        <w:t xml:space="preserve">(11)</w:t>
      </w:r>
      <w:r>
        <w:t xml:space="preserve"> </w:t>
      </w:r>
      <w:r>
        <w:t xml:space="preserve">"Hardboard" means a panel manufactured primarily from interfelted lignocellulosic fibers which are consolidated under heat and pressure in a hot-press.</w:t>
      </w:r>
    </w:p>
    <w:p>
      <w:pPr>
        <w:pStyle w:val="kar_subsection"/>
      </w:pPr>
      <w:r>
        <w:t xml:space="preserve">(12)</w:t>
      </w:r>
      <w:r>
        <w:t xml:space="preserve"> </w:t>
      </w:r>
      <w:r>
        <w:t xml:space="preserve">"Class II hardboard paneling finishes" means finishes which meet the specifications of Voluntary Product Standard PS-59-73, which has been incorporated by reference in 401 KAR 50:015, as approved by the American National Standards Institute.</w:t>
      </w:r>
    </w:p>
    <w:p>
      <w:pPr>
        <w:pStyle w:val="kar_subsection"/>
      </w:pPr>
      <w:r>
        <w:t xml:space="preserve">(13)</w:t>
      </w:r>
      <w:r>
        <w:t xml:space="preserve"> </w:t>
      </w:r>
      <w:r>
        <w:t xml:space="preserve">"Classification date" means February 4, 1981.</w:t>
      </w:r>
    </w:p>
    <w:p>
      <w:pPr>
        <w:pStyle w:val="kar_subsection"/>
      </w:pPr>
      <w:r>
        <w:t xml:space="preserve">(14)</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 operation or a design of equipment permits more than one (1) interpretation of this definition, the interpretation that results in the minimum value for allowable emissions shall apply.</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 control system is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other factors that could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Submit a final control plan for achieving compliance with this administrative regulation no later than nine (9) months after the date the affected facility becomes subject to this administrative regulation.</w:t>
      </w:r>
    </w:p>
    <w:p>
      <w:pPr>
        <w:pStyle w:val="kar_paragraph"/>
      </w:pPr>
      <w:r>
        <w:t xml:space="preserve">(b)</w:t>
      </w:r>
      <w:r>
        <w:t xml:space="preserve"> </w:t>
      </w:r>
      <w:r>
        <w:t xml:space="preserve">Award a contract for the control system or for the exempt coatings and accompanying process change no later than eleven (11)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or process changes for exempt coatings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 affected facility shall be exempt from Section 3 of this administrative regulation if the total VOC content of all the coatings applied to a specific area of finished paneling product is:</w:t>
      </w:r>
    </w:p>
    <w:p>
      <w:pPr>
        <w:pStyle w:val="kar_paragraph"/>
      </w:pPr>
      <w:r>
        <w:t xml:space="preserve">(a)</w:t>
      </w:r>
      <w:r>
        <w:t xml:space="preserve"> </w:t>
      </w:r>
      <w:r>
        <w:t xml:space="preserve">Less than two and nine-tenths (2.9) kg of VOCs per 100 sq. m. of coated surface (six (6.0) lb/1,000 sq. ft.) for printed interior wall panels made of hardwood plywood and thin particle board;</w:t>
      </w:r>
    </w:p>
    <w:p>
      <w:pPr>
        <w:pStyle w:val="kar_paragraph"/>
      </w:pPr>
      <w:r>
        <w:t xml:space="preserve">(b)</w:t>
      </w:r>
      <w:r>
        <w:t xml:space="preserve"> </w:t>
      </w:r>
      <w:r>
        <w:t xml:space="preserve">Less than five and eight-tenths (5.8) (5.9) kg of VOCs per 100 sq. m. of coated surface (twelve (12.0) lb/1,000 sq. ft.) for natural finish hardwood plywood panels; or</w:t>
      </w:r>
    </w:p>
    <w:p>
      <w:pPr>
        <w:pStyle w:val="kar_paragraph"/>
      </w:pPr>
      <w:r>
        <w:t xml:space="preserve">(c)</w:t>
      </w:r>
      <w:r>
        <w:t xml:space="preserve"> </w:t>
      </w:r>
      <w:r>
        <w:t xml:space="preserve">Less than four and eight-tenths (4.8) (4.9) kg of VOCs per 100 sq. m. of coated surface (ten (10.0) lb/1,000 sq. ft.) for Class II finishes for hardboard paneling.</w:t>
      </w:r>
    </w:p>
    <w:p>
      <w:pPr>
        <w:pStyle w:val="kar_subsection"/>
      </w:pPr>
      <w:r>
        <w:t xml:space="preserve">(2)</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lb/hour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(or maximum production) and 8760 hr/yr before add-on control.</w:t>
      </w:r>
    </w:p>
    <w:p>
      <w:pPr>
        <w:pStyle w:val="kar_history"/>
        <w:sectPr>
          <w:pgSz w:w="12240" w:h="15840" w:orient="portrait" w:code="1"/>
          <w:pgMar w:top="1080" w:right="1080" w:bottom="1080" w:left="1080" w:header="720" w:footer="720" w:gutter="0"/>
          <w:paperSrc w:first="263" w:other="263"/>
          <w:noEndnote/>
          <w:docGrid w:linePitch="218"/>
        </w:sectPr>
      </w:pPr>
      <w:r>
        <w:t xml:space="preserve">(7 Ky.R. 376; 550; eff. 2-4-1981; 18 Ky.R. 2664; 3371;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bc02e0fb84adb" /><Relationship Type="http://schemas.openxmlformats.org/officeDocument/2006/relationships/settings" Target="/word/settings.xml" Id="Rdb4f407ea03e4caf" /></Relationships>
</file>