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5f9765cc3f43d7" /></Relationships>
</file>

<file path=word/document.xml><?xml version="1.0" encoding="utf-8"?>
<w:document xmlns:w="http://schemas.openxmlformats.org/wordprocessingml/2006/main">
  <w:body>
    <w:p>
      <w:pPr>
        <w:pStyle w:val="kar_citation"/>
      </w:pPr>
      <w:r>
        <w:t>402 KAR 3:030.</w:t>
      </w:r>
      <w:r>
        <w:t xml:space="preserve"> </w:t>
      </w:r>
      <w:r>
        <w:t xml:space="preserve">Best management practices for timber harvesting operations.</w:t>
      </w:r>
    </w:p>
    <w:p>
      <w:pPr>
        <w:pStyle w:val="kar_markup_metadata"/>
      </w:pPr>
      <w:r>
        <w:t xml:space="preserve">RELATES TO: </w:t>
      </w:r>
      <w:r>
        <w:t xml:space="preserve">KRS 149.330, 149.332, 149.334, 149.344, 149.346, 149.348, 149.350, 149.355, 224.10-100, 224.71-110, 224.71-120</w:t>
      </w:r>
    </w:p>
    <w:p>
      <w:pPr>
        <w:pStyle w:val="kar_markup_metadata"/>
      </w:pPr>
      <w:r>
        <w:t xml:space="preserve">STATUTORY AUTHORITY: </w:t>
      </w:r>
      <w:r>
        <w:t xml:space="preserve">KRS 149.330, 149.344</w:t>
      </w:r>
    </w:p>
    <w:p>
      <w:pPr>
        <w:pStyle w:val="kar_markup_metadata"/>
      </w:pPr>
      <w:r>
        <w:t xml:space="preserve">NECESSITY, FUNCTION, AND CONFORMITY: </w:t>
      </w:r>
      <w:r>
        <w:t xml:space="preserve">KRS 149.334(5) authorizes the cabinet to promulgate administrative regulations relating to the Kentucky Forest Conservation Act, KRS 149.330 to 149.355. KRS 149.344 requires that any logger or operator engaged in the conduct of any timber harvesting operations use appropriate best management practices. This administrative regulation establishes the best management practices for timber harvesting operations as developed by the Division of Forestry and approved by the Agriculture Water Quality Authority.</w:t>
      </w:r>
    </w:p>
    <w:p>
      <w:pPr>
        <w:pStyle w:val="kar_section"/>
      </w:pPr>
      <w:r>
        <w:t xml:space="preserve">Section 1.</w:t>
      </w:r>
      <w:r>
        <w:t xml:space="preserve"> </w:t>
      </w:r>
      <w:r>
        <w:t xml:space="preserve">A logger or operator engaged in timber harvesting operations shall comply with the provisions of the silviculture section of The Kentucky Agriculture Water Quality Plan, Best Management Practices, required by KRS 224.71-110 and 224.71-120.</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1761; eff. 5-19-1999; 27 Ky.R. 3154; 28 Ky.R. 79; eff. 7-16-2001; 41 Ky.R. 2621; eff. 9-3-2015; 44 Ky.R. 579; eff. 11-2-2017; Crt eff. 7-3-2018;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2e8e195d904e26" /><Relationship Type="http://schemas.openxmlformats.org/officeDocument/2006/relationships/settings" Target="/word/settings.xml" Id="R7a30d3c21d104409" /></Relationships>
</file>