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1d856d77146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2:040.</w:t>
      </w:r>
      <w:r>
        <w:t xml:space="preserve"> </w:t>
      </w:r>
      <w:r>
        <w:t xml:space="preserve">Waivers.</w:t>
      </w:r>
    </w:p>
    <w:p>
      <w:pPr>
        <w:pStyle w:val="kar_markup_metadata"/>
      </w:pPr>
      <w:r>
        <w:t xml:space="preserve">RELATES TO: </w:t>
      </w:r>
      <w:r>
        <w:t xml:space="preserve">KRS 532.100</w:t>
      </w:r>
    </w:p>
    <w:p>
      <w:pPr>
        <w:pStyle w:val="kar_markup_metadata"/>
      </w:pPr>
      <w:r>
        <w:t xml:space="preserve">STATUTORY AUTHORITY: </w:t>
      </w:r>
      <w:r>
        <w:t xml:space="preserve">KRS 196.035, 197.020(1), 532.100(4)</w:t>
      </w:r>
    </w:p>
    <w:p>
      <w:pPr>
        <w:pStyle w:val="kar_markup_metadata"/>
      </w:pPr>
      <w:r>
        <w:t xml:space="preserve">NECESSITY, FUNCTION, AND CONFORMITY: </w:t>
      </w:r>
      <w:r>
        <w:t xml:space="preserve">KRS 532.100(4) requires the Department of Corrections to grant a waiver to any county that chooses not to house Class D and Class C felons in its county jail. This administrative regulation establishes the process for a county to request a waiver from the department and the effect of the waiver on that county's Class D and Class C felons.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Request for Waivers; Effect of Waivers.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waiver request shall be made in writing and signed by the county judge executive and jailer.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Once granted, the wavier shall remain in effect until terminated. To request termination of the waiver, the county shall provide the department a request in writing, and signed by the county judge executive and jailer, to terminate the waiver. The department shall provide notice to the county when the waiver is terminated.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Controlled Intake.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For a Class D or Class C felon in a county with a waiver, the department: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May transfer the felon directly to a county jail which houses Class D or Class C felons, if space is available;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Shall consider the felon, if not transferred directly, a controlled intake inmate and process the inmate through the AC Center pursuant to CPP 17.3, incorporated by reference in 501 KAR 6:020.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computer listing shall be maintained at the AC Center of all Class D and Class C felons convicted in counties granted waivers.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For a Class D or Class C felon considered a controlled intake inmate, the Classification Branch Manager shall transfer the felon to a county jail if a jail bed becomes available.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1490; Am. 1746; eff. 2-8-93; 22 Ky.R. 341; 905; eff. 11-6-95; 27 Ky.R. 2891; 3244; eff. 6-8-2001; 34 Ky.R. 1163; eff. 3-7-2008; 37 KY.R. 2930; eff. 10-7-11; Crt eff. 2-20-2020.)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e22b3763ff4dd6" /><Relationship Type="http://schemas.openxmlformats.org/officeDocument/2006/relationships/settings" Target="/word/settings.xml" Id="Rd3dcacb9cd1c4634" /></Relationships>
</file>