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05d696694b4270" /></Relationships>
</file>

<file path=word/document.xml><?xml version="1.0" encoding="utf-8"?>
<w:document xmlns:w="http://schemas.openxmlformats.org/wordprocessingml/2006/main">
  <w:body>
    <w:p>
      <w:pPr>
        <w:pStyle w:val="kar_citation"/>
      </w:pPr>
      <w:r>
        <w:t>501 KAR 6:280.</w:t>
      </w:r>
      <w:r>
        <w:t xml:space="preserve"> </w:t>
      </w:r>
      <w:r>
        <w:t xml:space="preserve">Risk and needs assessment.</w:t>
      </w:r>
    </w:p>
    <w:p>
      <w:pPr>
        <w:pStyle w:val="kar_markup_metadata"/>
      </w:pPr>
      <w:r>
        <w:t xml:space="preserve">RELATES TO: </w:t>
      </w:r>
      <w:r>
        <w:t xml:space="preserve">KRS 196.035, 197.020, 439.265, 439.3101, 439.3104, 439.3105, 439.331, 439.348, 439.480, 446.010</w:t>
      </w:r>
    </w:p>
    <w:p>
      <w:pPr>
        <w:pStyle w:val="kar_markup_metadata"/>
      </w:pPr>
      <w:r>
        <w:t xml:space="preserve">STATUTORY AUTHORITY: </w:t>
      </w:r>
      <w:r>
        <w:t xml:space="preserve">KRS 197.020, 439.3101, 439.3104, 439.331</w:t>
      </w:r>
    </w:p>
    <w:p>
      <w:pPr>
        <w:pStyle w:val="kar_markup_metadata"/>
      </w:pPr>
      <w:r>
        <w:t xml:space="preserve">NECESSITY, FUNCTION, AND CONFORMITY: </w:t>
      </w:r>
      <w:r>
        <w:t xml:space="preserve">KRS 197.020(1)(d), 439.3101(2)(a), 439.3104(1) and (2), and 439.331(1) require the Department of Corrections to promulgate an administrative regulation for the administration of a validated risk and needs assessment to assess the criminal risk factors and correctional needs of all inmates and offenders upon commitment to the department. This administrative regulation establishes the validated risk and needs assessment requirements for assessing the criminal risk factors and correctional needs of inmates and offenders.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for risk and needs assessment," January 13, 2020, are incorporated by reference. These policies and procedures include:</w:t>
      </w:r>
    </w:p>
    <w:tbl>
      <w:tblPr>
        <w:tblStyle w:val="kar_table"/>
        <w:tblW w:w="0" w:type="auto"/>
      </w:tblPr>
      <w:tblGrid>
        <w:gridCol w:w="1"/>
        <w:gridCol w:w="1"/>
      </w:tblGrid>
      <w:tr>
        <w:tc>
          <w:tcPr/>
          <w:p>
            <w:pPr>
              <w:pStyle w:val="kar_table_cell"/>
            </w:pPr>
            <w:r>
              <w:t xml:space="preserve">29.1</w:t>
            </w:r>
          </w:p>
        </w:tc>
        <w:tc>
          <w:tcPr/>
          <w:p>
            <w:pPr>
              <w:pStyle w:val="kar_table_cell"/>
            </w:pPr>
            <w:r>
              <w:t xml:space="preserve">Risk and Needs Assessment (Amended 1/13/20 )</w:t>
            </w:r>
          </w:p>
        </w:tc>
      </w:tr>
      <w:tr>
        <w:tc>
          <w:tcPr/>
          <w:p>
            <w:pPr>
              <w:pStyle w:val="kar_table_cell"/>
            </w:pPr>
            <w:r>
              <w:t xml:space="preserve">29.2</w:t>
            </w:r>
          </w:p>
        </w:tc>
        <w:tc>
          <w:tcPr/>
          <w:p>
            <w:pPr>
              <w:pStyle w:val="kar_table_cell"/>
            </w:pPr>
            <w:r>
              <w:t xml:space="preserve">Case Planning (Amended 1/13/20)</w:t>
            </w:r>
          </w:p>
        </w:tc>
      </w:tr>
      <w:tr>
        <w:tc>
          <w:tcPr/>
          <w:p>
            <w:pPr>
              <w:pStyle w:val="kar_table_cell"/>
            </w:pPr>
            <w:r>
              <w:t xml:space="preserve">29.3</w:t>
            </w:r>
          </w:p>
        </w:tc>
        <w:tc>
          <w:tcPr/>
          <w:p>
            <w:pPr>
              <w:pStyle w:val="kar_table_cell"/>
            </w:pPr>
            <w:r>
              <w:t xml:space="preserve">Risk and Needs Assessment and Reentry Programming Training and Quality Assurance (Amended 1/13/20)</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 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1918; 39 Ky.R. 212; eff. 8-31-2012; 44 Ky.R. 1396; 1860; eff. 4-6-2018; 46 Ky.R. 2320; eff. 8-4-2020.)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87c268d93c4781" /><Relationship Type="http://schemas.openxmlformats.org/officeDocument/2006/relationships/settings" Target="/word/settings.xml" Id="R83b5b2fce2cf42f4" /></Relationships>
</file>