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d894f97eb4dcc" /></Relationships>
</file>

<file path=word/document.xml><?xml version="1.0" encoding="utf-8"?>
<w:document xmlns:w="http://schemas.openxmlformats.org/wordprocessingml/2006/main">
  <w:body>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w:t>
      </w:r>
    </w:p>
    <w:p>
      <w:pPr>
        <w:pStyle w:val="kar_markup_metadata"/>
      </w:pPr>
      <w:r>
        <w:t xml:space="preserve">NECESSITY, FUNCTION, AND CONFORMITY: </w:t>
      </w:r>
      <w:r>
        <w:t xml:space="preserve">KRS 117.015 authorizes the Kentucky State Board of Elections to promulgate administrative regulations necessary to properly carry out its duties.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voter registration database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voter registration database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voter registration database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voter registration database"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voter registration database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means a list of registered voters generated from the statewide voter registration database in any format in any given election precinct in the Commonwealth of Kentucky that the State Board of Elections is required to furnish pursuant to KRS 117.025(3)(h).</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precinct signature roster.</w:t>
      </w:r>
    </w:p>
    <w:p>
      <w:pPr>
        <w:pStyle w:val="kar_subsection"/>
      </w:pPr>
      <w:r>
        <w:t xml:space="preserve">(2)</w:t>
      </w:r>
      <w:r>
        <w:t xml:space="preserve"> </w:t>
      </w:r>
      <w:r>
        <w:t xml:space="preserve">Each precinct election officer shall instruct each voter to correct any error existing in his or her address as it appears upon the precinct signature roster.</w:t>
      </w:r>
    </w:p>
    <w:p>
      <w:pPr>
        <w:pStyle w:val="kar_subsection"/>
      </w:pPr>
      <w:r>
        <w:t xml:space="preserve">(3)</w:t>
      </w:r>
      <w:r>
        <w:t xml:space="preserve"> </w:t>
      </w:r>
      <w:r>
        <w:t xml:space="preserve">Each voter shall, when he or she signs the precinct signature roster, correct any error existing in his or her address as it appears upon the precinct signature roster.</w:t>
      </w:r>
    </w:p>
    <w:p>
      <w:pPr>
        <w:pStyle w:val="kar_subsection"/>
      </w:pPr>
      <w:r>
        <w:t xml:space="preserve">(4)</w:t>
      </w:r>
      <w:r>
        <w:t xml:space="preserve"> </w:t>
      </w:r>
      <w:r>
        <w:t xml:space="preserve">Each county clerk shall take all steps necessary to correct and update each voter's address upon the statewide voter registration database.</w:t>
      </w:r>
    </w:p>
    <w:p>
      <w:pPr>
        <w:pStyle w:val="kar_section"/>
      </w:pPr>
      <w:r>
        <w:t xml:space="preserve">Section 3.</w:t>
      </w:r>
      <w:r>
        <w:t xml:space="preserve"> </w:t>
      </w:r>
      <w:r>
        <w:t xml:space="preserve">Interpretation of Commercial Use. Commercial use, as that term is used in KRS 117.025(3)(h),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or service; or</w:t>
      </w:r>
    </w:p>
    <w:p>
      <w:pPr>
        <w:pStyle w:val="kar_subsection"/>
      </w:pPr>
      <w:r>
        <w:t xml:space="preserve">(2)</w:t>
      </w:r>
      <w:r>
        <w:t xml:space="preserve"> </w:t>
      </w:r>
      <w:r>
        <w:t xml:space="preserve">The transfer of a voter registration list by the requester for a profit to any other person whom the requester knew or should have known intended to use the voter registration list, or any part thereof, in any form, for profit, the solicitation of donations, or for the sale or advertisement of a good or service.</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 or</w:t>
      </w:r>
    </w:p>
    <w:p>
      <w:pPr>
        <w:pStyle w:val="kar_subsection"/>
      </w:pPr>
      <w:r>
        <w:t xml:space="preserve">(3)</w:t>
      </w:r>
      <w:r>
        <w:t xml:space="preserve"> </w:t>
      </w:r>
      <w:r>
        <w:t xml:space="preserve">Use in a publication provided or sold to duly qualified candidates; political party committees, or officials thereof; or any committee that advocates or opposes an amendment or public question.</w:t>
      </w:r>
    </w:p>
    <w:p>
      <w:pPr>
        <w:pStyle w:val="kar_section"/>
      </w:pPr>
      <w:r>
        <w:t xml:space="preserve">Section 5.</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"Request for Voter Registration Data", SBE 84, May 2018,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559; eff. 10-2-1986; 30 Ky.R. 2171; 2455; 7-2-2004; 33 Ky.R. 3235; 3595; eff. 7-6-2007; 1095; 1434; eff. 2-5-2009; 44 Ky.R. 2086; 2314; eff. 5-4-2018; 45 Ky.R. 122; 638; eff. 10-5-2018.)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8ec9fec554567" /><Relationship Type="http://schemas.openxmlformats.org/officeDocument/2006/relationships/settings" Target="/word/settings.xml" Id="R2c580cd3bd834b6a" /></Relationships>
</file>