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72a11fd08f4dfc" /></Relationships>
</file>

<file path=word/document.xml><?xml version="1.0" encoding="utf-8"?>
<w:document xmlns:w="http://schemas.openxmlformats.org/wordprocessingml/2006/main">
  <w:body>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72.020, 209.020(4), 209.030, 209A.020(4), 209A.030, 211.600, 216B.015, 216B.400, 216B.990(3), 314.011(14), Chapter 346, 421.570, 510.010-510.140, 524.140, 530.020, 530.064(1)(a), 531.310, 600.020, 620.030, 42 U.S.C. 3796gg-4, 45 C.F.R. 164.512</w:t>
      </w:r>
    </w:p>
    <w:p>
      <w:pPr>
        <w:pStyle w:val="kar_markup_metadata"/>
      </w:pPr>
      <w:r>
        <w:t xml:space="preserve">STATUTORY AUTHORITY: </w:t>
      </w:r>
      <w:r>
        <w:t xml:space="preserve">KRS 216B.400</w:t>
      </w:r>
    </w:p>
    <w:p>
      <w:pPr>
        <w:pStyle w:val="kar_markup_metadata"/>
      </w:pPr>
      <w:r>
        <w:t xml:space="preserve">NECESSITY, FUNCTION, AND CONFORMITY: </w:t>
      </w:r>
      <w:r>
        <w:t xml:space="preserve">KRS 15A.160 and 216B.400(2) authorize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in KRS 216B.015(26).</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920 KAR 2:010.</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 or</w:t>
      </w:r>
    </w:p>
    <w:p>
      <w:pPr>
        <w:pStyle w:val="kar_subparagraph"/>
      </w:pPr>
      <w:r>
        <w:t xml:space="preserve">2.</w:t>
      </w:r>
      <w:r>
        <w:t xml:space="preserve"> </w:t>
      </w:r>
      <w:r>
        <w:t xml:space="preserve">An unlawful transaction with a minor, pursuant to KRS 530.064(1)(a).</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w:t>
      </w:r>
    </w:p>
    <w:p>
      <w:pPr>
        <w:pStyle w:val="kar_subsection"/>
      </w:pPr>
      <w:r>
        <w:t xml:space="preserve">(1)</w:t>
      </w:r>
      <w:r>
        <w:t xml:space="preserve"> </w:t>
      </w:r>
      <w:r>
        <w:t xml:space="preserve">Reporting to the Rape Crisis Center Advocate.</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w:t>
      </w:r>
    </w:p>
    <w:p>
      <w:pPr>
        <w:pStyle w:val="kar_subparagraph"/>
      </w:pPr>
      <w:r>
        <w:t xml:space="preserve">1.</w:t>
      </w:r>
      <w:r>
        <w:t xml:space="preserve"> </w:t>
      </w:r>
      <w:r>
        <w:t xml:space="preserve">Assess whether the victim may be an abused, neglected, or dependent child, as defined in KRS 600.020. In cases of suspected child abuse, neglect, or dependency, medical personnel shall immediately report the incident to the Cabinet for Health and Family Services; a local or state law enforcement agency;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 and</w:t>
      </w:r>
    </w:p>
    <w:p>
      <w:pPr>
        <w:pStyle w:val="kar_paragraph"/>
      </w:pPr>
      <w:r>
        <w:t xml:space="preserve">(b)</w:t>
      </w:r>
      <w:r>
        <w:t xml:space="preserve"> </w:t>
      </w:r>
      <w:r>
        <w:t xml:space="preserve">If the victim is eighteen (18) years old or older:</w:t>
      </w:r>
    </w:p>
    <w:p>
      <w:pPr>
        <w:pStyle w:val="kar_subparagraph"/>
      </w:pPr>
      <w:r>
        <w:t xml:space="preserve">1.</w:t>
      </w:r>
      <w:r>
        <w:t xml:space="preserve"> </w:t>
      </w:r>
      <w:r>
        <w:t xml:space="preserve">The examination facility shall not contact law enforcement or release any information to law enforcement without the victim's authorization;</w:t>
      </w:r>
    </w:p>
    <w:p>
      <w:pPr>
        <w:pStyle w:val="kar_subparagraph"/>
      </w:pPr>
      <w:r>
        <w:t xml:space="preserve">2.</w:t>
      </w:r>
      <w:r>
        <w:t xml:space="preserve"> </w:t>
      </w:r>
      <w:r>
        <w:t xml:space="preserve">Determine whether a mandatory reporting law addressing spouse abuse or abuse of a vulnerable adult applies:</w:t>
      </w:r>
    </w:p>
    <w:p>
      <w:pPr>
        <w:pStyle w:val="kar_clause"/>
      </w:pPr>
      <w:r>
        <w:t xml:space="preserve">a.</w:t>
      </w:r>
      <w:r>
        <w:t xml:space="preserve"> </w:t>
      </w:r>
      <w:r>
        <w:t xml:space="preserve">Assess whether the victim may be an adult as defined in KRS 209A.020(4); and</w:t>
      </w:r>
    </w:p>
    <w:p>
      <w:pPr>
        <w:pStyle w:val="kar_clause"/>
      </w:pPr>
      <w:r>
        <w:t xml:space="preserve">b.</w:t>
      </w:r>
      <w:r>
        <w:t xml:space="preserve"> </w:t>
      </w:r>
      <w:r>
        <w:t xml:space="preserve">Assess whether the victim may be an adult as defined in KRS 209.020(4); and</w:t>
      </w:r>
    </w:p>
    <w:p>
      <w:pPr>
        <w:pStyle w:val="kar_subparagraph"/>
      </w:pPr>
      <w:r>
        <w:t xml:space="preserve">3.</w:t>
      </w:r>
      <w:r>
        <w:t xml:space="preserve"> </w:t>
      </w:r>
      <w:r>
        <w:t xml:space="preserve">If subparagraph 2.a or 2.b of this paragraph applies, immediately report the incident to the Cabinet for Health and Family Services and notify the victim of the report;</w:t>
      </w:r>
    </w:p>
    <w:p>
      <w:pPr>
        <w:pStyle w:val="kar_subsection"/>
      </w:pPr>
      <w:r>
        <w:t xml:space="preserve">(3)</w:t>
      </w:r>
      <w:r>
        <w:t xml:space="preserve"> </w:t>
      </w:r>
      <w:r>
        <w:t xml:space="preserve">Optional Reporting to Law Enforcement.</w:t>
      </w:r>
    </w:p>
    <w:p>
      <w:pPr>
        <w:pStyle w:val="kar_paragraph"/>
      </w:pPr>
      <w:r>
        <w:t xml:space="preserve">(a)</w:t>
      </w:r>
      <w:r>
        <w:t xml:space="preserve"> </w:t>
      </w:r>
      <w:r>
        <w:t xml:space="preserve">Ask the victim whether she or he wants to report the incident to law enforcement;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information or samples shall not be released to law enforcement, unless the victim has specifically authorized the release of information or samples;</w:t>
      </w:r>
    </w:p>
    <w:p>
      <w:pPr>
        <w:pStyle w:val="kar_subsection"/>
      </w:pPr>
      <w:r>
        <w:t xml:space="preserve">(4)</w:t>
      </w:r>
      <w:r>
        <w:t xml:space="preserve"> </w:t>
      </w:r>
      <w:r>
        <w:t xml:space="preserve">Inform the victim that all statements made during the interview and the sample collection process to physicians, nurses, other hospital personnel, or law enforcement officers are not privileged and may be disclosed;</w:t>
      </w:r>
    </w:p>
    <w:p>
      <w:pPr>
        <w:pStyle w:val="kar_subsection"/>
      </w:pPr>
      <w:r>
        <w:t xml:space="preserve">(5)</w:t>
      </w:r>
      <w:r>
        <w:t xml:space="preserve"> </w:t>
      </w:r>
      <w:r>
        <w:t xml:space="preserve">Provide a detailed explanation of the forensic-medical examination, the reasons for conducting the forensic-medical examination and the effect on a criminal prosecution if a forensic examination is not performed or reported to law enforcement;</w:t>
      </w:r>
    </w:p>
    <w:p>
      <w:pPr>
        <w:pStyle w:val="kar_subsection"/>
      </w:pPr>
      <w:r>
        <w:t xml:space="preserve">(6)</w:t>
      </w:r>
      <w:r>
        <w:t xml:space="preserve"> </w:t>
      </w:r>
      <w:r>
        <w:t xml:space="preserve">Advise the victim that photographs and other documentation, if released to law enforcement, may be used as evidence and that the photographs may include the genitalia;</w:t>
      </w:r>
    </w:p>
    <w:p>
      <w:pPr>
        <w:pStyle w:val="kar_subsection"/>
      </w:pPr>
      <w:r>
        <w:t xml:space="preserve">(7)</w:t>
      </w:r>
      <w:r>
        <w:t xml:space="preserve"> </w:t>
      </w:r>
      <w:r>
        <w:t xml:space="preserve">Advise the victim that the forensic-medical examination, including basic treatment, shall be conducted free of charge, but costs related to additional medical treatment may be incurred;</w:t>
      </w:r>
    </w:p>
    <w:p>
      <w:pPr>
        <w:pStyle w:val="kar_subsection"/>
      </w:pPr>
      <w:r>
        <w:t xml:space="preserve">(8)</w:t>
      </w:r>
      <w:r>
        <w:t xml:space="preserve"> </w:t>
      </w:r>
      <w:r>
        <w:t xml:space="preserve">Inform the victim that consent for the forensic sample collection process may be withdrawn at any time during the examination;</w:t>
      </w:r>
    </w:p>
    <w:p>
      <w:pPr>
        <w:pStyle w:val="kar_subsection"/>
      </w:pPr>
      <w:r>
        <w:t xml:space="preserve">(9)</w:t>
      </w:r>
      <w:r>
        <w:t xml:space="preserve"> </w:t>
      </w:r>
      <w:r>
        <w:t xml:space="preserve">Inform the victim of the need for a physical examination due to the risk of sexually transmitted infections, including HIV, pregnancy, injury, or other medical problems whether or not the victim chooses to have the evidence collected;</w:t>
      </w:r>
    </w:p>
    <w:p>
      <w:pPr>
        <w:pStyle w:val="kar_subsection"/>
      </w:pPr>
      <w:r>
        <w:t xml:space="preserve">(10)</w:t>
      </w:r>
      <w:r>
        <w:t xml:space="preserve"> </w:t>
      </w:r>
      <w:r>
        <w:t xml:space="preserve">Obtain documented consent from the victim prior to conducting the forensic-medical examination; and</w:t>
      </w:r>
    </w:p>
    <w:p>
      <w:pPr>
        <w:pStyle w:val="kar_subsection"/>
      </w:pPr>
      <w:r>
        <w:t xml:space="preserve">(11)</w:t>
      </w:r>
      <w:r>
        <w:t xml:space="preserve"> </w:t>
      </w:r>
      <w:r>
        <w:t xml:space="preserve">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t xml:space="preserve">(2)</w:t>
      </w:r>
      <w:r>
        <w:t xml:space="preserve"> </w:t>
      </w:r>
      <w:r>
        <w:t xml:space="preserve">If the sexual assault occurred within ninety-six (96) hours prior to the forensic-medical examination, a Kentucky State Police Sexual Assault Evidence Collection Kit shall be used. This kit consists of:</w:t>
      </w:r>
    </w:p>
    <w:p>
      <w:pPr>
        <w:pStyle w:val="kar_paragraph"/>
      </w:pPr>
      <w:r>
        <w:t xml:space="preserve">(a)</w:t>
      </w:r>
      <w:r>
        <w:t xml:space="preserve"> </w:t>
      </w:r>
      <w:r>
        <w:t xml:space="preserve">Instructions;</w:t>
      </w:r>
    </w:p>
    <w:p>
      <w:pPr>
        <w:pStyle w:val="kar_paragraph"/>
      </w:pPr>
      <w:r>
        <w:t xml:space="preserve">(b)</w:t>
      </w:r>
      <w:r>
        <w:t xml:space="preserve"> </w:t>
      </w:r>
      <w:r>
        <w:t xml:space="preserve">Evidence envelope;</w:t>
      </w:r>
    </w:p>
    <w:p>
      <w:pPr>
        <w:pStyle w:val="kar_paragraph"/>
      </w:pPr>
      <w:r>
        <w:t xml:space="preserve">(c)</w:t>
      </w:r>
      <w:r>
        <w:t xml:space="preserve"> </w:t>
      </w:r>
      <w:r>
        <w:t xml:space="preserve">Comb; and</w:t>
      </w:r>
    </w:p>
    <w:p>
      <w:pPr>
        <w:pStyle w:val="kar_paragraph"/>
      </w:pPr>
      <w:r>
        <w:t xml:space="preserve">(d)</w:t>
      </w:r>
      <w:r>
        <w:t xml:space="preserve"> </w:t>
      </w:r>
      <w:r>
        <w:t xml:space="preserve">Swabs.</w:t>
      </w:r>
    </w:p>
    <w:p>
      <w:pPr>
        <w:pStyle w:val="kar_subsection"/>
      </w:pPr>
      <w:r>
        <w:t xml:space="preserve">(3)</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t xml:space="preserve">(4)</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t xml:space="preserve">(5)</w:t>
      </w:r>
      <w:r>
        <w:t xml:space="preserve"> </w:t>
      </w:r>
      <w:r>
        <w:t xml:space="preserve">The following types of samples may be collected during the examination:</w:t>
      </w:r>
    </w:p>
    <w:p>
      <w:pPr>
        <w:pStyle w:val="kar_paragraph"/>
      </w:pPr>
      <w:r>
        <w:t xml:space="preserve">(a)</w:t>
      </w:r>
      <w:r>
        <w:t xml:space="preserve"> </w:t>
      </w:r>
      <w:r>
        <w:t xml:space="preserve">Hairs from the head or pubic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t xml:space="preserve">(6)</w:t>
      </w:r>
      <w:r>
        <w:t xml:space="preserve"> </w:t>
      </w:r>
      <w:r>
        <w:t xml:space="preserve">Samples shall not be collected if the victim is unconscious unless the collection is consistent with appropriate and necessary medical treatment.</w:t>
      </w:r>
    </w:p>
    <w:p>
      <w:pPr>
        <w:pStyle w:val="kar_subsection"/>
      </w:pPr>
      <w:r>
        <w:t xml:space="preserve">(7)</w:t>
      </w:r>
      <w:r>
        <w:t xml:space="preserve"> </w:t>
      </w:r>
      <w:r>
        <w:t xml:space="preserve">The collection of samples shall cease immediately if the victim dies during the process.</w:t>
      </w:r>
    </w:p>
    <w:p>
      <w:pPr>
        <w:pStyle w:val="kar_subsection"/>
      </w:pPr>
      <w:r>
        <w:t xml:space="preserve">(8)</w:t>
      </w:r>
      <w:r>
        <w:t xml:space="preserve"> </w:t>
      </w:r>
      <w:r>
        <w:t xml:space="preserve">The coroner shall be contacted if the victim dies during the sexual assault medical-forensic examination and the samples process and the evidence collected up to that time shall be delivered to the coroner or the coroner's designee, Collection of samples may be completed by medical personnel if requested by the coroner.</w:t>
      </w:r>
    </w:p>
    <w:p>
      <w:pPr>
        <w:pStyle w:val="kar_subsection"/>
      </w:pPr>
      <w:r>
        <w:t xml:space="preserve">(9)</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t xml:space="preserve">Sexually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clothing to wear in leaving the examination facility, or assistance in obtaining other personal clothing;</w:t>
      </w:r>
    </w:p>
    <w:p>
      <w:pPr>
        <w:pStyle w:val="kar_subsection"/>
      </w:pPr>
      <w:r>
        <w:t xml:space="preserve">(5)</w:t>
      </w:r>
      <w:r>
        <w:t xml:space="preserve"> </w:t>
      </w:r>
      <w:r>
        <w:t xml:space="preserve">Information about:</w:t>
      </w:r>
    </w:p>
    <w:p>
      <w:pPr>
        <w:pStyle w:val="kar_paragraph"/>
      </w:pPr>
      <w:r>
        <w:t xml:space="preserve">(a)</w:t>
      </w:r>
      <w:r>
        <w:t xml:space="preserve"> </w:t>
      </w:r>
      <w:r>
        <w:t xml:space="preserve">The Crime Victim's Compensation Board, as established in KRS Chapter 346;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t xml:space="preserve">107 KAR 1:005;</w:t>
      </w:r>
    </w:p>
    <w:p>
      <w:pPr>
        <w:pStyle w:val="kar_subparagraph"/>
      </w:pPr>
      <w:r>
        <w:t xml:space="preserve">2.</w:t>
      </w:r>
      <w:r>
        <w:t xml:space="preserve"> </w:t>
      </w:r>
      <w:r>
        <w:t xml:space="preserve">107 KAR 1:010;</w:t>
      </w:r>
    </w:p>
    <w:p>
      <w:pPr>
        <w:pStyle w:val="kar_subparagraph"/>
      </w:pPr>
      <w:r>
        <w:t xml:space="preserve">3.</w:t>
      </w:r>
      <w:r>
        <w:t xml:space="preserve"> </w:t>
      </w:r>
      <w:r>
        <w:t xml:space="preserve">107 KAR 1:015;</w:t>
      </w:r>
    </w:p>
    <w:p>
      <w:pPr>
        <w:pStyle w:val="kar_subparagraph"/>
      </w:pPr>
      <w:r>
        <w:t xml:space="preserve">4.</w:t>
      </w:r>
      <w:r>
        <w:t xml:space="preserve"> </w:t>
      </w:r>
      <w:r>
        <w:t xml:space="preserve">107 KAR 1:025;</w:t>
      </w:r>
    </w:p>
    <w:p>
      <w:pPr>
        <w:pStyle w:val="kar_subparagraph"/>
      </w:pPr>
      <w:r>
        <w:t xml:space="preserve">5.</w:t>
      </w:r>
      <w:r>
        <w:t xml:space="preserve"> </w:t>
      </w:r>
      <w:r>
        <w:t xml:space="preserve">107 KAR 1:040; and</w:t>
      </w:r>
    </w:p>
    <w:p>
      <w:pPr>
        <w:pStyle w:val="kar_subsection"/>
      </w:pPr>
      <w:r>
        <w:t xml:space="preserve">(6)</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the examination facility shall transfer samples to local law enforcement officials as soon as possible.</w:t>
      </w:r>
    </w:p>
    <w:p>
      <w:pPr>
        <w:pStyle w:val="kar_subsection"/>
      </w:pPr>
      <w:r>
        <w:t xml:space="preserve">(5)</w:t>
      </w:r>
      <w:r>
        <w:t xml:space="preserve"> </w:t>
      </w:r>
      <w:r>
        <w:t xml:space="preserve">If the victim chooses not to report the incident to law enforcement as a crime when the examination is performed, the examination facility shall arrange for the samples to be stored securely for at least ninety (90) days.</w:t>
      </w:r>
    </w:p>
    <w:p>
      <w:pPr>
        <w:pStyle w:val="kar_subsection"/>
      </w:pPr>
      <w:r>
        <w:t xml:space="preserve">(6)</w:t>
      </w:r>
      <w:r>
        <w:t xml:space="preserve"> </w:t>
      </w:r>
      <w:r>
        <w:t xml:space="preserve">The examination facility may either store samples or transfer samples to a designated storage facility.</w:t>
      </w:r>
    </w:p>
    <w:p>
      <w:pPr>
        <w:pStyle w:val="kar_subsection"/>
      </w:pPr>
      <w:r>
        <w:t xml:space="preserve">(7)</w:t>
      </w:r>
      <w:r>
        <w:t xml:space="preserve"> </w:t>
      </w:r>
      <w:r>
        <w:t xml:space="preserve">The examination facility shall maintain documentation regarding transfers of samples.</w:t>
      </w:r>
    </w:p>
    <w:p>
      <w:pPr>
        <w:pStyle w:val="kar_subsection"/>
      </w:pPr>
      <w:r>
        <w:t xml:space="preserve">(8)</w:t>
      </w:r>
      <w:r>
        <w:t xml:space="preserve"> </w:t>
      </w:r>
      <w:r>
        <w:t xml:space="preserve">Facilities or agencies providing secure storage of samples under this section shall assure compliance with subsections (5) and (6) of this Section within a locked or otherwise secure container in a limited-access location.</w:t>
      </w:r>
    </w:p>
    <w:p>
      <w:pPr>
        <w:pStyle w:val="kar_subsection"/>
      </w:pPr>
      <w:r>
        <w:t xml:space="preserve">(9)</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t xml:space="preserve">(10)</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5(5)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t xml:space="preserve">Ninety (90) days after the sample was collected, the examination facility or designated storage facility may destroy the sample at any time in accordance with the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the request of a victim. The victim's request for destruction shall be documented by the examination facility and designated storage facility, if used.</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2479; Am. 26 Ky.R. 378; eff. 8-16-1999; 37 Ky.R. 1546; 1997; eff. 3-4-2011;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232af666d4651" /><Relationship Type="http://schemas.openxmlformats.org/officeDocument/2006/relationships/settings" Target="/word/settings.xml" Id="R3ad08a630c484fc9" /></Relationships>
</file>