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2691a779b640b5" /></Relationships>
</file>

<file path=word/document.xml><?xml version="1.0" encoding="utf-8"?>
<w:document xmlns:w="http://schemas.openxmlformats.org/wordprocessingml/2006/main">
  <w:body>
    <w:p>
      <w:pPr>
        <w:pStyle w:val="kar_citation"/>
      </w:pPr>
      <w:r>
        <w:t>502 KAR 30:010.</w:t>
      </w:r>
      <w:r>
        <w:t xml:space="preserve"> </w:t>
      </w:r>
      <w:r>
        <w:t xml:space="preserve">Criminal History Record Information System.</w:t>
      </w:r>
    </w:p>
    <w:p>
      <w:pPr>
        <w:pStyle w:val="kar_markup_metadata"/>
      </w:pPr>
      <w:r>
        <w:t xml:space="preserve">RELATES TO: </w:t>
      </w:r>
      <w:r>
        <w:t xml:space="preserve">KRS 17.140</w:t>
      </w:r>
    </w:p>
    <w:p>
      <w:pPr>
        <w:pStyle w:val="kar_markup_metadata"/>
      </w:pPr>
      <w:r>
        <w:t xml:space="preserve">STATUTORY AUTHORITY: </w:t>
      </w:r>
      <w:r>
        <w:t xml:space="preserve">KRS 15A.160, 17.080</w:t>
      </w:r>
    </w:p>
    <w:p>
      <w:pPr>
        <w:pStyle w:val="kar_markup_metadata"/>
      </w:pPr>
      <w:r>
        <w:t xml:space="preserve">NECESSITY, FUNCTION, AND CONFORMITY: </w:t>
      </w:r>
      <w:r>
        <w:t xml:space="preserve">KRS 15A.160 and 17.080 provide that the Secretary of Justice may adopt such administrative regulations as are necessary to properly administer the cabinet. KRS 17.140 establishes the Centralized Criminal History Record Information System. This administrative regulation establishes the definitions to be used in the administration of the Centralized Criminal History Record Information System.</w:t>
      </w:r>
    </w:p>
    <w:p>
      <w:pPr>
        <w:pStyle w:val="kar_section"/>
      </w:pPr>
      <w:r>
        <w:t xml:space="preserve">Section 1.</w:t>
      </w:r>
      <w:r>
        <w:t xml:space="preserve"> </w:t>
      </w:r>
      <w:r>
        <w:t xml:space="preserve">As employed in 502 KAR 30:010 through 502 KAR 30:070, unless the context requires otherwise:</w:t>
      </w:r>
    </w:p>
    <w:p>
      <w:pPr>
        <w:pStyle w:val="kar_subsection"/>
      </w:pPr>
      <w:r>
        <w:t xml:space="preserve">(1)</w:t>
      </w:r>
      <w:r>
        <w:t xml:space="preserve"> </w:t>
      </w:r>
      <w:r>
        <w:t xml:space="preserve">"Criminal History Record Information System" means a system including equipment, facilities, procedures, agreements, and organizations thereof, for the collection, processing, preservation or dissemination of criminal history record information.</w:t>
      </w:r>
    </w:p>
    <w:p>
      <w:pPr>
        <w:pStyle w:val="kar_subsection"/>
      </w:pPr>
      <w:r>
        <w:t xml:space="preserve">(2)</w:t>
      </w:r>
      <w:r>
        <w:t xml:space="preserve"> </w:t>
      </w:r>
      <w:r>
        <w:t xml:space="preserve">"Criminal history record information," hereinafter referred to as CHRI, means information collected by criminal justice agencies on individuals consisting of identifiable descriptions and notations of arrest, detentions, indictments, informations, or other formal criminal charges, and any disposition arising therefrom, including, but not limited to, sentencing, correctional supervision and release. CHRI shall not include identification information such as fingerprint records to the extent that such information does not indicate involvement of the individual in the criminal justice system, or the evaluative information, such as statistical and analytical reports and files in which individuals are not directly or indirectly identifiable, or intelligence information. CHRI shall be limited to information concerning persons who have attained the age of eighteen (18) and shall not include any information concerning criminal offenses of acts of delinquency committed by any person before that person has attained the age of eighteen (18); provided, however, that if a person under the age of eighteen (18) is adjudicated as an adult and found guilty in a circuit court, information relating to such criminal offense shall be deemed CHRI. CHRI shall not include any information concerning any offense which is not punishable by incarceration.</w:t>
      </w:r>
    </w:p>
    <w:p>
      <w:pPr>
        <w:pStyle w:val="kar_subsection"/>
      </w:pPr>
      <w:r>
        <w:t xml:space="preserve">(3)</w:t>
      </w:r>
      <w:r>
        <w:t xml:space="preserve"> </w:t>
      </w:r>
      <w:r>
        <w:t xml:space="preserve">"Criminal justice agency" means:</w:t>
      </w:r>
    </w:p>
    <w:p>
      <w:pPr>
        <w:pStyle w:val="kar_paragraph"/>
      </w:pPr>
      <w:r>
        <w:t xml:space="preserve">(a)</w:t>
      </w:r>
      <w:r>
        <w:t xml:space="preserve"> </w:t>
      </w:r>
      <w:r>
        <w:t xml:space="preserve">Courts for purposes agreed upon between the secretary and Chief Justice;</w:t>
      </w:r>
    </w:p>
    <w:p>
      <w:pPr>
        <w:pStyle w:val="kar_paragraph"/>
      </w:pPr>
      <w:r>
        <w:t xml:space="preserve">(b)</w:t>
      </w:r>
      <w:r>
        <w:t xml:space="preserve"> </w:t>
      </w:r>
      <w:r>
        <w:t xml:space="preserve">A government agency or any subunit thereof which performs the administration of criminal justice pursuant to a statute or executive order, and which allocates a substantial part of its annual budget to the administration of criminal justice. The term criminal justice agency shall be inclusive of but not limited to: the Attorney General, sheriff departments, law enforcement agencies of a county or municipality, coroner, jailer, prosecuting attorney, probation officer, parole officer; warden or superintendent of a prison, reformatory, correctional school, mental hospital or institution of the retarded; state police, State Fire Marshal, Board of Alcoholic Beverage Control; Justice Cabinet; Cabinet for Human Resources; Transportation Cabinet; Corrections Cabinet; and every other person or criminal justice agency, except the court of justice, public or private, dealing with crimes or criminals or with delinquency or delinquents.</w:t>
      </w:r>
    </w:p>
    <w:p>
      <w:pPr>
        <w:pStyle w:val="kar_subsection"/>
      </w:pPr>
      <w:r>
        <w:t xml:space="preserve">(4)</w:t>
      </w:r>
      <w:r>
        <w:t xml:space="preserve"> </w:t>
      </w:r>
      <w:r>
        <w:t xml:space="preserve">"Administration of criminal justice" means performance of any of the following activities: detection, apprehension, detention, pretrial release, posttrial release, prosecution, adjudication, correctional supervision, or rehabilitation of accused persons or criminal offenders. The administration of criminal justice shall include criminal identification activities and the collection, storage, and dissemination of CHRI.</w:t>
      </w:r>
    </w:p>
    <w:p>
      <w:pPr>
        <w:pStyle w:val="kar_subsection"/>
      </w:pPr>
      <w:r>
        <w:t xml:space="preserve">(5)</w:t>
      </w:r>
      <w:r>
        <w:t xml:space="preserve"> </w:t>
      </w:r>
      <w:r>
        <w:t xml:space="preserve">"Disposition" means information disclosing that criminal proceedings have been concluded, including information disclosing that the police have elected not to refer a matter to a prosecutor or that a prosecutor has elected not to commence criminal proceedings and also disclosing the nature of the termination of proceedings; or information disclosing that proceedings have been indefinitely postponed and also disclosing the reason for such postponement. Dispositions shall include, but not be limited to: acquittal, acquittal by reason of insanity, acquittal by reason of mental incompetence, case continued without finding, charge dismissed, charge dismissed due to insanity, charge dismissed due to mental incompetency, charge still pending due to insanity, charge still pending due to mental incompetence, guilty plea, nolle prosequi, no paper, nolo contendere plea, convicted, youthful offender determination, deceased, deferred disposition, dismissed-civil action, found insane, found mentally incompetent, pardoned, probation before conviction, sentence commuted, adjudication withheld, mistrial-defendant discharged, executive clemency, placed on probation, paroled or released from correctional supervision, or any other disposition deemed appropriate by the court.</w:t>
      </w:r>
    </w:p>
    <w:p>
      <w:pPr>
        <w:pStyle w:val="kar_subsection"/>
      </w:pPr>
      <w:r>
        <w:t xml:space="preserve">(6)</w:t>
      </w:r>
      <w:r>
        <w:t xml:space="preserve"> </w:t>
      </w:r>
      <w:r>
        <w:t xml:space="preserve">"Nonconviction data" means arrest information without disposition if an interval of one (1) year has elapsed from the date of arrest and no active prosecution of the charges is pending; all information disclosing that the police have elected not to refer a matter to a prosecutor, or that a prosecutor has elected not to commence criminal proceedings, or that proceedings have been indefinitely postponed, as well as all acquittals and all dismissals.</w:t>
      </w:r>
    </w:p>
    <w:p>
      <w:pPr>
        <w:pStyle w:val="kar_subsection"/>
      </w:pPr>
      <w:r>
        <w:t xml:space="preserve">(7)</w:t>
      </w:r>
      <w:r>
        <w:t xml:space="preserve"> </w:t>
      </w:r>
      <w:r>
        <w:t xml:space="preserve">"Uniform offense report", hereinafter "UOR-1," means the report form developed pursuant to KRS 15A.190 and 17.150 on which every felony case, every misdemeanor case of theft by unlawful taking or disposition, every case of unauthorized use of a motor vehicle, and every other instance where there is an allegation that a criminal offense has been committed against a victim's person or property and a uniform citation will not suffice, shall be recorded and reported by forwarding a completed UOR-1 form to the Kentucky State Police, Records Section, hereinafter Records.</w:t>
      </w:r>
    </w:p>
    <w:p>
      <w:pPr>
        <w:pStyle w:val="kar_subsection"/>
      </w:pPr>
      <w:r>
        <w:t xml:space="preserve">(8)</w:t>
      </w:r>
      <w:r>
        <w:t xml:space="preserve"> </w:t>
      </w:r>
      <w:r>
        <w:t xml:space="preserve">"Court disposition uniform offense report," hereinafter "UOR-3," means that report form developed pursuant to KRS 15A.190 and 17.150 on which either preliminary or final court dispositions on all criminal offenses involving arrest(s) other than those reported on a uniform citation shall be recorded with final dispositions on all cases reported by forwarding a completed UOR-3 to Records.</w:t>
      </w:r>
    </w:p>
    <w:p>
      <w:pPr>
        <w:pStyle w:val="kar_subsection"/>
      </w:pPr>
      <w:r>
        <w:t xml:space="preserve">(9)</w:t>
      </w:r>
      <w:r>
        <w:t xml:space="preserve"> </w:t>
      </w:r>
      <w:r>
        <w:t xml:space="preserve">"NLETS" means the National Law Enforcement Telecommunication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1714; eff. 6-4-85.)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4bb6153d349bf" /><Relationship Type="http://schemas.openxmlformats.org/officeDocument/2006/relationships/settings" Target="/word/settings.xml" Id="R2b9da814ba89400b" /></Relationships>
</file>