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f0a554700d4dc4" /></Relationships>
</file>

<file path=word/document.xml><?xml version="1.0" encoding="utf-8"?>
<w:document xmlns:w="http://schemas.openxmlformats.org/wordprocessingml/2006/main">
  <w:body>
    <w:p>
      <w:pPr>
        <w:pStyle w:val="kar_citation"/>
      </w:pPr>
      <w:r>
        <w:t>31 KAR 4:070.</w:t>
      </w:r>
      <w:r>
        <w:t xml:space="preserve"> </w:t>
      </w:r>
      <w:r>
        <w:t xml:space="preserve">Recanvass procedures.</w:t>
      </w:r>
    </w:p>
    <w:p>
      <w:pPr>
        <w:pStyle w:val="kar_markup_metadata"/>
      </w:pPr>
      <w:r>
        <w:t xml:space="preserve">RELATES TO: </w:t>
      </w:r>
      <w:r>
        <w:t xml:space="preserve">KRS 117.305, 118.425, 242.120</w:t>
      </w:r>
    </w:p>
    <w:p>
      <w:pPr>
        <w:pStyle w:val="kar_markup_metadata"/>
      </w:pPr>
      <w:r>
        <w:t xml:space="preserve">STATUTORY AUTHORITY: </w:t>
      </w:r>
      <w:r>
        <w:t xml:space="preserve">KRS 117.015(1)(a), 117.305(2), (3), (4), 242.120(3), (4), (5)</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117.305(2) and KRS 242.120(3) require the State Board of Elections to prescribe forms to be used by county boards of elections to report all recanvassed votes, KRS 117.305(3) and KRS 242.120(4) require that the board promulgate administrative regulations to set reporting standards for recanvass reports, and KRS 117.305(4) and KRS 242.120(5) require that the board promulgate administrative regulations to establish the proper procedures for conducting a recanvass for each type of voting system approved by the board and in use in Kentucky. This administrative regulation establishes the reporting forms to be used in the event of a recanvass, reporting standards for an election if a recanvass is requested and received in a timely manner, and establishes the proper procedures for conducting a recanvass on the approved voting systems in use in Kentucky.</w:t>
      </w:r>
    </w:p>
    <w:p>
      <w:pPr>
        <w:pStyle w:val="kar_section"/>
      </w:pPr>
      <w:r>
        <w:t xml:space="preserve">Section 1.</w:t>
      </w:r>
      <w:r>
        <w:t xml:space="preserve"> </w:t>
      </w:r>
    </w:p>
    <w:p>
      <w:pPr>
        <w:pStyle w:val="kar_subsection"/>
      </w:pPr>
      <w:r>
        <w:t xml:space="preserve">(1)</w:t>
      </w:r>
      <w:r>
        <w:t xml:space="preserve"> </w:t>
      </w:r>
      <w:r>
        <w:t xml:space="preserve">The Recanvass of Official Count and Record of Election Totals form, SBE 49A, shall be used by the county board of elections to report all recanvassed votes, except for local option elections.</w:t>
      </w:r>
    </w:p>
    <w:p>
      <w:pPr>
        <w:pStyle w:val="kar_subsection"/>
      </w:pPr>
      <w:r>
        <w:t xml:space="preserve">(2)</w:t>
      </w:r>
      <w:r>
        <w:t xml:space="preserve"> </w:t>
      </w:r>
      <w:r>
        <w:t xml:space="preserve">The Recanvass of Official Count and Record of Election Totals for Local Option Election form, SBE 49B, shall be used by the county board of elections to report recanvassed votes for local option elections.</w:t>
      </w:r>
    </w:p>
    <w:p>
      <w:pPr>
        <w:pStyle w:val="kar_subsection"/>
      </w:pPr>
      <w:r>
        <w:t xml:space="preserve">(3)</w:t>
      </w:r>
      <w:r>
        <w:t xml:space="preserve"> </w:t>
      </w:r>
      <w:r>
        <w:t xml:space="preserve">The county board of elections shall state the name of the county in which the recanvass is being conducted, the date of the report, the date of the election, the office for which the recanvass is being made, the name of each candidate for the office being recanvassed, and the machine votes, absentee votes, provisional votes and total votes for each candidate. The report shall be signed by each member of the county board of elections.</w:t>
      </w:r>
    </w:p>
    <w:p>
      <w:pPr>
        <w:pStyle w:val="kar_subsection"/>
      </w:pPr>
      <w:r>
        <w:t xml:space="preserve">(4)</w:t>
      </w:r>
      <w:r>
        <w:t xml:space="preserve"> </w:t>
      </w:r>
      <w:r>
        <w:t xml:space="preserve">For a recanvass of a local option election, the county board of elections shall state the name of the county in which the recanvass is being conducted, the date of the report, the date of the local option election, the proposition for which the recanvass is being made, the names of the leaders of the committees favoring or opposing the proposition being recanvassed, and the machine votes, absentee votes, and vote totals for "yes" or "no" votes. The report shall be signed by each member of the county board of elections.</w:t>
      </w:r>
    </w:p>
    <w:p>
      <w:pPr>
        <w:pStyle w:val="kar_section"/>
      </w:pPr>
      <w:r>
        <w:t xml:space="preserve">Section 2.</w:t>
      </w:r>
      <w:r>
        <w:t xml:space="preserve"> </w:t>
      </w:r>
    </w:p>
    <w:p>
      <w:pPr>
        <w:pStyle w:val="kar_subsection"/>
      </w:pPr>
      <w:r>
        <w:t xml:space="preserve">(1)</w:t>
      </w:r>
      <w:r>
        <w:t xml:space="preserve"> </w:t>
      </w:r>
      <w:r>
        <w:t xml:space="preserve">The county board of elections shall file its recanvass report, SBE 49A, immediately upon completion of the recanvass for those vote totals reported to the Secretary of State, pursuant to KRS 118.425(3).</w:t>
      </w:r>
    </w:p>
    <w:p>
      <w:pPr>
        <w:pStyle w:val="kar_subsection"/>
      </w:pPr>
      <w:r>
        <w:t xml:space="preserve">(2)</w:t>
      </w:r>
      <w:r>
        <w:t xml:space="preserve"> </w:t>
      </w:r>
      <w:r>
        <w:t xml:space="preserve">The county board of elections shall file its recanvass report, SBE 49A, immediately upon completion of the recanvass for the vote totals reported to the county clerk, pursuant to 118.425(2).</w:t>
      </w:r>
    </w:p>
    <w:p>
      <w:pPr>
        <w:pStyle w:val="kar_subsection"/>
      </w:pPr>
      <w:r>
        <w:t xml:space="preserve">(3)</w:t>
      </w:r>
      <w:r>
        <w:t xml:space="preserve"> </w:t>
      </w:r>
      <w:r>
        <w:t xml:space="preserve">The county board of elections shall file its recanvass report for a local option election, SBE 49B, immediately upon completion of the recanvass for the vote totals reported to the county clerk, pursuant to KRS 242.110.</w:t>
      </w:r>
    </w:p>
    <w:p>
      <w:pPr>
        <w:pStyle w:val="kar_section"/>
      </w:pPr>
      <w:r>
        <w:t xml:space="preserve">Section 3.</w:t>
      </w:r>
      <w:r>
        <w:t xml:space="preserve"> </w:t>
      </w:r>
      <w:r>
        <w:t xml:space="preserve">If KRS 117.305(1) or KRS 242.120(2)(a) requires a recanvass, the provisions established in this section shall apply.</w:t>
      </w:r>
    </w:p>
    <w:p>
      <w:pPr>
        <w:pStyle w:val="kar_subsection"/>
      </w:pPr>
      <w:r>
        <w:t xml:space="preserve">(1)</w:t>
      </w:r>
      <w:r>
        <w:t xml:space="preserve"> </w:t>
      </w:r>
      <w:r>
        <w:t xml:space="preserve">In a general election, the county board of elections shall only check and tabulate the votes of the candidate requesting a recanvass and each opposing candidate seeking the same office.</w:t>
      </w:r>
    </w:p>
    <w:p>
      <w:pPr>
        <w:pStyle w:val="kar_subsection"/>
      </w:pPr>
      <w:r>
        <w:t xml:space="preserve">(2)</w:t>
      </w:r>
      <w:r>
        <w:t xml:space="preserve"> </w:t>
      </w:r>
      <w:r>
        <w:t xml:space="preserve">In a partisan primary election, the county board of elections shall only check and tabulate the votes of the candidate requesting a recanvass and each opposing candidate of the same political party seeking the same office.</w:t>
      </w:r>
    </w:p>
    <w:p>
      <w:pPr>
        <w:pStyle w:val="kar_subsection"/>
      </w:pPr>
      <w:r>
        <w:t xml:space="preserve">(3)</w:t>
      </w:r>
      <w:r>
        <w:t xml:space="preserve"> </w:t>
      </w:r>
      <w:r>
        <w:t xml:space="preserve">In a nonpartisan election, the county board of elections shall only check and tabulate the votes of the candidate requesting a recanvass and each opposing candidate seeking the same office.</w:t>
      </w:r>
    </w:p>
    <w:p>
      <w:pPr>
        <w:pStyle w:val="kar_subsection"/>
      </w:pPr>
      <w:r>
        <w:t xml:space="preserve">(4)</w:t>
      </w:r>
      <w:r>
        <w:t xml:space="preserve"> </w:t>
      </w:r>
      <w:r>
        <w:t xml:space="preserve">In a local option election, the county board of elections shall check and tabulate the "yes" and "no" votes.</w:t>
      </w:r>
    </w:p>
    <w:p>
      <w:pPr>
        <w:pStyle w:val="kar_section"/>
      </w:pPr>
      <w:r>
        <w:t xml:space="preserve">Section 4.</w:t>
      </w:r>
      <w:r>
        <w:t xml:space="preserve"> </w:t>
      </w:r>
      <w:r>
        <w:t xml:space="preserve">A county board of elections shall recanvass the votes recorded depending on the machine and voting method utilized, as follows:</w:t>
      </w:r>
    </w:p>
    <w:p>
      <w:pPr>
        <w:pStyle w:val="kar_subsection"/>
      </w:pPr>
      <w:r>
        <w:t xml:space="preserve">(1)</w:t>
      </w:r>
      <w:r>
        <w:t xml:space="preserve"> </w:t>
      </w:r>
      <w:r>
        <w:t xml:space="preserve">If an electronic voting system with a central tabulation system is used, the recanvass shall be taken:</w:t>
      </w:r>
    </w:p>
    <w:p>
      <w:pPr>
        <w:pStyle w:val="kar_paragraph"/>
      </w:pPr>
      <w:r>
        <w:t xml:space="preserve">(a)</w:t>
      </w:r>
      <w:r>
        <w:t xml:space="preserve"> </w:t>
      </w:r>
      <w:r>
        <w:t xml:space="preserve">By clearing the system, such as by setting the tabulation system to zero and retabulating the votes recorded on the memory cartridges on election day by using the central tabulation system; or</w:t>
      </w:r>
    </w:p>
    <w:p>
      <w:pPr>
        <w:pStyle w:val="kar_paragraph"/>
      </w:pPr>
      <w:r>
        <w:t xml:space="preserve">(b)</w:t>
      </w:r>
      <w:r>
        <w:t xml:space="preserve"> </w:t>
      </w:r>
      <w:r>
        <w:t xml:space="preserve">By comparing the results printout printed from each voting machine on election day with the county-wide recapitulation sheet.</w:t>
      </w:r>
    </w:p>
    <w:p>
      <w:pPr>
        <w:pStyle w:val="kar_subsection"/>
      </w:pPr>
      <w:r>
        <w:t xml:space="preserve">(2)</w:t>
      </w:r>
      <w:r>
        <w:t xml:space="preserve"> </w:t>
      </w:r>
      <w:r>
        <w:t xml:space="preserve">If an electronic voting system without a central tabulation system is used, the recanvass shall be taken by comparing the results printout printed from each voting machine on election day with the county-wide recapitulation sheet.</w:t>
      </w:r>
    </w:p>
    <w:p>
      <w:pPr>
        <w:pStyle w:val="kar_subsection"/>
      </w:pPr>
      <w:r>
        <w:t xml:space="preserve">(3)</w:t>
      </w:r>
      <w:r>
        <w:t xml:space="preserve"> </w:t>
      </w:r>
      <w:r>
        <w:t xml:space="preserve">Paper ballots, which were judged to be valid by the county board of elections on election day and which were not counted using a central tabulation system but were hand-counted on election day, shall be recanvassed by utilizing the same procedure actually used to count those paper ballots on election day following the procedures for the uniform definition of a vote established by 31 KAR 6:030.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"Recanvass of Official Count and Record of Elections Totals", SBE 49A, December 2003 edition; and</w:t>
      </w:r>
    </w:p>
    <w:p>
      <w:pPr>
        <w:pStyle w:val="kar_paragraph"/>
      </w:pPr>
      <w:r>
        <w:t xml:space="preserve">(b)</w:t>
      </w:r>
      <w:r>
        <w:t xml:space="preserve"> </w:t>
      </w:r>
      <w:r>
        <w:t xml:space="preserve">"Recanvass of Official Count and Record of Elections Totals for Local Option Election", SBE 49B, August 2013 edition.</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555; Am. 1320; eff. 11-1-91; 22 Ky.R. 1662; eff. 5-16-96; 27 Ky.R. 3129; 28 Ky.R. 66; eff. 7-16-2001; 32 Ky.R. 1315; 1608; eff. 3-31-06; 40 Ky.R. 882; eff. 1-3-2014.)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a539c2173a4475" /><Relationship Type="http://schemas.openxmlformats.org/officeDocument/2006/relationships/settings" Target="/word/settings.xml" Id="R0ae52acb8fb54549" /></Relationships>
</file>