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a9b6d95c54e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4:090.</w:t>
      </w:r>
      <w:r>
        <w:t xml:space="preserve"> </w:t>
      </w:r>
      <w:r>
        <w:t xml:space="preserve">Mock elections for school children.</w:t>
      </w:r>
    </w:p>
    <w:p>
      <w:pPr>
        <w:pStyle w:val="kar_markup_metadata"/>
      </w:pPr>
      <w:r>
        <w:t xml:space="preserve">RELATES TO: </w:t>
      </w:r>
      <w:r>
        <w:t xml:space="preserve">KRS 117.235(6)</w:t>
      </w:r>
    </w:p>
    <w:p>
      <w:pPr>
        <w:pStyle w:val="kar_markup_metadata"/>
      </w:pPr>
      <w:r>
        <w:t xml:space="preserve">STATUTORY AUTHORITY: </w:t>
      </w:r>
      <w:r>
        <w:t xml:space="preserve">KRS 117.235(6)</w:t>
      </w:r>
    </w:p>
    <w:p>
      <w:pPr>
        <w:pStyle w:val="kar_markup_metadata"/>
      </w:pPr>
      <w:r>
        <w:t xml:space="preserve">NECESSITY, FUNCTION, AND CONFORMITY: </w:t>
      </w:r>
      <w:r>
        <w:t xml:space="preserve">This administrative regulation is necessary to insure that the regular election process shall not be impaired if a county conducts mock elections for school children.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 mock election for school children conducted at the polling place in conjunction with any regular primary or special election shall not interfere with the regular voting process.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precinct election officers shall maintain order at the polls if a mock election for school children is being conducted at the polling place to insure that the regular voting process shall not be impaired.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The mock election results shall not be released prior to the regular election precinct results.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(21 Ky.R. 1796; 2090; eff. 2-8-1995; Crt eff. 3-6-2019.)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19ba1dc55a444d" /><Relationship Type="http://schemas.openxmlformats.org/officeDocument/2006/relationships/settings" Target="/word/settings.xml" Id="R1d9087bd8b624ab2" /></Relationships>
</file>