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0b1b70a3b4c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4:060.</w:t>
      </w:r>
      <w:r>
        <w:t xml:space="preserve"> </w:t>
      </w:r>
      <w:r>
        <w:t xml:space="preserve">Reporting test scores and issuing certificates of completion.</w:t>
      </w:r>
    </w:p>
    <w:p>
      <w:pPr>
        <w:pStyle w:val="kar_markup_metadata"/>
      </w:pPr>
      <w:r>
        <w:t xml:space="preserve">RELATES TO: </w:t>
      </w:r>
      <w:r>
        <w:t xml:space="preserve">KRS 237.110, 237.124</w:t>
      </w:r>
    </w:p>
    <w:p>
      <w:pPr>
        <w:pStyle w:val="kar_markup_metadata"/>
      </w:pPr>
      <w:r>
        <w:t xml:space="preserve">STATUTORY AUTHORITY: </w:t>
      </w:r>
      <w:r>
        <w:t xml:space="preserve">KRS 237.124</w:t>
      </w:r>
    </w:p>
    <w:p>
      <w:pPr>
        <w:pStyle w:val="kar_markup_metadata"/>
      </w:pPr>
      <w:r>
        <w:t xml:space="preserve">NECESSITY, FUNCTION, AND CONFORMITY: </w:t>
      </w:r>
      <w:r>
        <w:t xml:space="preserve">KRS 237.124 requires the department to promulgate administrative regulations concerning the operation of a program for the training of applicants for a concealed deadly weapons license. This administrative regulation establishes the requirements for reporting test scores to the department and the issuance of a certificate of successful completion of the course.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Within five (5) working days after the completion of the course, a certified firearms instructor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Grade the examinations;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Mail or deliver to the department: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completed "Applicant Request for Training License to Carry Concealed Deadly Weapons", Form #126, incorporated by reference in 503 KAR 4:050, showing the student's score on the written examination and indicating whether the student passed or failed the range work;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graded examinations.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Within fifteen (15) days after receipt of the material specified in Section 1 of this administrative regulation, the department shall mail to an applicant: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certificate of successful course completion; or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notice that the applicant has failed the: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Course and will not be certified;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Written examination, the range firing, or both, as appropriate.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 student shall be issued a certificate of completion if he has: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Answered at least seventy (70) percent of the written examination questions correctly;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Achieved a grade of "passing" on the range work.</w:t>
      </w:r>
    </w:p>
    <w:p>
      <w:pPr>
        <w:pStyle w:val="kar_section"/>
      </w:pPr>
      <w:r>
        <w:t xml:space="preserve">Section 4.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student who scored below seventy (70) percent on the written examination may retake the examination one (1) time without having to retake the course.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student who has not passed the range work may repeat the range work one (1) time without having to retake the course.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1290; Am. 1590; eff. 9-17-96; 29 Ky.R. 1875, 2280; eff. 3-19-03; Crt eff. 2-25-2020.)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e59dab238e4f7c" /><Relationship Type="http://schemas.openxmlformats.org/officeDocument/2006/relationships/settings" Target="/word/settings.xml" Id="R5dbcf2d323a54b38" /></Relationships>
</file>