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43a4f5ba9c45ff" /></Relationships>
</file>

<file path=word/document.xml><?xml version="1.0" encoding="utf-8"?>
<w:document xmlns:w="http://schemas.openxmlformats.org/wordprocessingml/2006/main">
  <w:body>
    <w:p>
      <w:pPr>
        <w:pStyle w:val="kar_citation"/>
      </w:pPr>
      <w:r>
        <w:t>505 KAR 1:100.</w:t>
      </w:r>
      <w:r>
        <w:t xml:space="preserve"> </w:t>
      </w:r>
      <w:r>
        <w:t xml:space="preserve">Department of Juvenile Justice Policies and Procedures: admissions.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15A.069, 15A.160, 15A.210, 15A.305(5), 200.115, 605.150, 635.095, 635.100(7), 640.120, 645.250</w:t>
      </w:r>
    </w:p>
    <w:p>
      <w:pPr>
        <w:pStyle w:val="kar_markup_metadata"/>
      </w:pPr>
      <w:r>
        <w:t xml:space="preserve">NECESSITY, FUNCTION, AND CONFORMITY: </w:t>
      </w:r>
      <w:r>
        <w:t xml:space="preserve">KRS 15A.065(1), 15A.0652, 15A.067, 15A.069,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"Department of Juvenile Justice Policy and Procedures: Admissions", February 11, 2019, which includes the following: 200Definitions (Amended 2/11/19); 201Classification (Amended 2/11/19); 202Youth Placement Priority (Amended 11/30/18); 203Daily Census and Population (Amended 11/30/18); 204Administrative Transfers (Amended 11/30/18); 205Youth Rights (Amended 2/11/19); 206Youth Access to Outside Investigative Agencies (Amended 11/30/18); and 207Out-of-State Placement (Amended 11/30/18); and</w:t>
      </w:r>
    </w:p>
    <w:p>
      <w:pPr>
        <w:pStyle w:val="kar_paragraph"/>
      </w:pPr>
      <w:r>
        <w:t xml:space="preserve">(b)</w:t>
      </w:r>
      <w:r>
        <w:t xml:space="preserve"> </w:t>
      </w:r>
      <w:r>
        <w:t xml:space="preserve">The "Classification and Placement Manual", Amended 2/11/19.</w:t>
      </w:r>
    </w:p>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852; 1268; eff. 11-12-2002; 32 Ky.R. 1478; 2027; eff. 7-7-2006; 35 Ky.R. 1851; 2454; 2741; eff. 7-6-2009; 42 Ky.R. 519; 1561; eff. 1-4-2016; 45 Ky.R. 2171, 2663; eff. 4-5-2019.)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0e413ba92d4742" /><Relationship Type="http://schemas.openxmlformats.org/officeDocument/2006/relationships/settings" Target="/word/settings.xml" Id="Rd169bdb0b2114bff" /></Relationships>
</file>