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f68b09cfea435a" /></Relationships>
</file>

<file path=word/document.xml><?xml version="1.0" encoding="utf-8"?>
<w:document xmlns:w="http://schemas.openxmlformats.org/wordprocessingml/2006/main">
  <w:body>
    <w:p>
      <w:pPr>
        <w:pStyle w:val="kar_citation"/>
      </w:pPr>
      <w:r>
        <w:t>601 KAR 9:140.</w:t>
      </w:r>
      <w:r>
        <w:t xml:space="preserve"> </w:t>
      </w:r>
      <w:r>
        <w:t xml:space="preserve">Temporary registration plates.</w:t>
      </w:r>
    </w:p>
    <w:p>
      <w:pPr>
        <w:pStyle w:val="kar_markup_metadata"/>
      </w:pPr>
      <w:r>
        <w:t xml:space="preserve">RELATES TO: </w:t>
      </w:r>
      <w:r>
        <w:t xml:space="preserve">KRS 186.070, 186A.100, 186A.105(2), 190.030</w:t>
      </w:r>
    </w:p>
    <w:p>
      <w:pPr>
        <w:pStyle w:val="kar_markup_metadata"/>
      </w:pPr>
      <w:r>
        <w:t xml:space="preserve">STATUTORY AUTHORITY: </w:t>
      </w:r>
      <w:r>
        <w:t xml:space="preserve">KRS 186A.100(4)</w:t>
      </w:r>
    </w:p>
    <w:p>
      <w:pPr>
        <w:pStyle w:val="kar_markup_metadata"/>
      </w:pPr>
      <w:r>
        <w:t xml:space="preserve">NECESSITY, FUNCTION, AND CONFORMITY: </w:t>
      </w:r>
      <w:r>
        <w:t xml:space="preserve">KRS 186A.100(4) authorizes the cabinet to promulgate administrative regulations governing the application and use of temporary motor vehicle registration. This administrative regulation establishes the application procedures and uses for a temporary registration license plate.</w:t>
      </w:r>
    </w:p>
    <w:p>
      <w:pPr>
        <w:pStyle w:val="kar_section"/>
      </w:pPr>
      <w:r>
        <w:t xml:space="preserve">Section 1.</w:t>
      </w:r>
      <w:r>
        <w:t xml:space="preserve"> </w:t>
      </w:r>
      <w:r>
        <w:t xml:space="preserve">Definition. "Panographic" means a surface that if scanned or xeroxed shall produce a secured background word or image.</w:t>
      </w:r>
    </w:p>
    <w:p>
      <w:pPr>
        <w:pStyle w:val="kar_section"/>
      </w:pPr>
      <w:r>
        <w:t xml:space="preserve">Section 2.</w:t>
      </w:r>
      <w:r>
        <w:t xml:space="preserve"> </w:t>
      </w:r>
      <w:r>
        <w:t xml:space="preserve">Application.</w:t>
      </w:r>
    </w:p>
    <w:p>
      <w:pPr>
        <w:pStyle w:val="kar_subsection"/>
      </w:pPr>
      <w:r>
        <w:t xml:space="preserve">(1)</w:t>
      </w:r>
      <w:r>
        <w:t xml:space="preserve"> </w:t>
      </w:r>
      <w:r>
        <w:t xml:space="preserve">A representative of a currently licensed motor vehicle or motorcycle dealer shall apply to the county clerk for a temporary registration license plate by presenting to the county clerk of residence a photo identification card and a written authorization from the motor vehicle or motorcycle dealership for the representative to apply for a temporary registration license plate.</w:t>
      </w:r>
    </w:p>
    <w:p>
      <w:pPr>
        <w:pStyle w:val="kar_subsection"/>
      </w:pPr>
      <w:r>
        <w:t xml:space="preserve">(2)</w:t>
      </w:r>
      <w:r>
        <w:t xml:space="preserve"> </w:t>
      </w:r>
      <w:r>
        <w:t xml:space="preserve">If the representative does not have written authorization from the motor vehicle or motorcycle dealer, the county clerk shall compare the representative's photo identification card to the list of persons authorized by the dealer as established in KRS 186.070(2).</w:t>
      </w:r>
    </w:p>
    <w:p>
      <w:pPr>
        <w:pStyle w:val="kar_subsection"/>
      </w:pPr>
      <w:r>
        <w:t xml:space="preserve">(3)</w:t>
      </w:r>
      <w:r>
        <w:t xml:space="preserve"> </w:t>
      </w:r>
      <w:r>
        <w:t xml:space="preserve">The county clerk shall issue from the Automated Vehicle Information System a receipt that identifies the:</w:t>
      </w:r>
    </w:p>
    <w:p>
      <w:pPr>
        <w:pStyle w:val="kar_paragraph"/>
      </w:pPr>
      <w:r>
        <w:t xml:space="preserve">(a)</w:t>
      </w:r>
      <w:r>
        <w:t xml:space="preserve"> </w:t>
      </w:r>
      <w:r>
        <w:t xml:space="preserve">Motor vehicle or motorcycle dealer;</w:t>
      </w:r>
    </w:p>
    <w:p>
      <w:pPr>
        <w:pStyle w:val="kar_paragraph"/>
      </w:pPr>
      <w:r>
        <w:t xml:space="preserve">(b)</w:t>
      </w:r>
      <w:r>
        <w:t xml:space="preserve"> </w:t>
      </w:r>
      <w:r>
        <w:t xml:space="preserve">Date of transaction; and</w:t>
      </w:r>
    </w:p>
    <w:p>
      <w:pPr>
        <w:pStyle w:val="kar_paragraph"/>
      </w:pPr>
      <w:r>
        <w:t xml:space="preserve">(c)</w:t>
      </w:r>
      <w:r>
        <w:t xml:space="preserve"> </w:t>
      </w:r>
      <w:r>
        <w:t xml:space="preserve">Control numbers of each temporary registration license plate issued.</w:t>
      </w:r>
    </w:p>
    <w:p>
      <w:pPr>
        <w:pStyle w:val="kar_subsection"/>
      </w:pPr>
      <w:r>
        <w:t xml:space="preserve">(4)</w:t>
      </w:r>
      <w:r>
        <w:t xml:space="preserve"> </w:t>
      </w:r>
      <w:r>
        <w:t xml:space="preserve">The employee of a motor vehicle or motorcycle dealer shall sign a receipt form to acknowledge receipt of the temporary registration license plates.</w:t>
      </w:r>
    </w:p>
    <w:p>
      <w:pPr>
        <w:pStyle w:val="kar_section"/>
      </w:pPr>
      <w:r>
        <w:t xml:space="preserve">Section 3.</w:t>
      </w:r>
      <w:r>
        <w:t xml:space="preserve"> </w:t>
      </w:r>
      <w:r>
        <w:t xml:space="preserve">Number of Temporary Plates.</w:t>
      </w:r>
    </w:p>
    <w:p>
      <w:pPr>
        <w:pStyle w:val="kar_subsection"/>
      </w:pPr>
      <w:r>
        <w:t xml:space="preserve">(1)</w:t>
      </w:r>
      <w:r>
        <w:t xml:space="preserve"> </w:t>
      </w:r>
      <w:r>
        <w:t xml:space="preserve">As established in KRS 186A.100(1), a county clerk shall not issue more than one (1) sixty (60) day temporary registration license plate to a motor vehicle, motorcycle, or motor vehicle owner.</w:t>
      </w:r>
    </w:p>
    <w:p>
      <w:pPr>
        <w:pStyle w:val="kar_subsection"/>
      </w:pPr>
      <w:r>
        <w:t xml:space="preserve">(2)</w:t>
      </w:r>
      <w:r>
        <w:t xml:space="preserve"> </w:t>
      </w:r>
      <w:r>
        <w:t xml:space="preserve">A motor vehicle dealer currently licensed pursuant to KRS 186.070 or a motorcycle dealer currently licensed pursuant to KRS 190.030 shall not issue more than one (1) sixty (60) day temporary registration license plate for each sale of a vehicle.</w:t>
      </w:r>
    </w:p>
    <w:p>
      <w:pPr>
        <w:pStyle w:val="kar_subsection"/>
      </w:pPr>
      <w:r>
        <w:t xml:space="preserve">(3)</w:t>
      </w:r>
      <w:r>
        <w:t xml:space="preserve"> </w:t>
      </w:r>
      <w:r>
        <w:t xml:space="preserve">A temporary registration plate shall not be renewed.</w:t>
      </w:r>
    </w:p>
    <w:p>
      <w:pPr>
        <w:pStyle w:val="kar_section"/>
      </w:pPr>
      <w:r>
        <w:t xml:space="preserve">Section 4.</w:t>
      </w:r>
      <w:r>
        <w:t xml:space="preserve"> </w:t>
      </w:r>
      <w:r>
        <w:t xml:space="preserve">Log of Temporary Registration Plates Issued.</w:t>
      </w:r>
    </w:p>
    <w:p>
      <w:pPr>
        <w:pStyle w:val="kar_subsection"/>
      </w:pPr>
      <w:r>
        <w:t xml:space="preserve">(1)</w:t>
      </w:r>
      <w:r>
        <w:t xml:space="preserve"> </w:t>
      </w:r>
      <w:r>
        <w:t xml:space="preserve">A currently licensed motor vehicle dealer shall maintain a Temporary Tag Log, TC form 96-210, of information on each temporary registration plate issued as established in KRS 186A.100(2) and 186A.105(2).</w:t>
      </w:r>
    </w:p>
    <w:p>
      <w:pPr>
        <w:pStyle w:val="kar_subsection"/>
      </w:pPr>
      <w:r>
        <w:t xml:space="preserve">(2)</w:t>
      </w:r>
      <w:r>
        <w:t xml:space="preserve"> </w:t>
      </w:r>
      <w:r>
        <w:t xml:space="preserve">The Temporary Tag Log Form shall include the:</w:t>
      </w:r>
    </w:p>
    <w:p>
      <w:pPr>
        <w:pStyle w:val="kar_paragraph"/>
      </w:pPr>
      <w:r>
        <w:t xml:space="preserve">(a)</w:t>
      </w:r>
      <w:r>
        <w:t xml:space="preserve"> </w:t>
      </w:r>
      <w:r>
        <w:t xml:space="preserve">Dealer's name;</w:t>
      </w:r>
    </w:p>
    <w:p>
      <w:pPr>
        <w:pStyle w:val="kar_paragraph"/>
      </w:pPr>
      <w:r>
        <w:t xml:space="preserve">(b)</w:t>
      </w:r>
      <w:r>
        <w:t xml:space="preserve"> </w:t>
      </w:r>
      <w:r>
        <w:t xml:space="preserve">Dealer's telephone number;</w:t>
      </w:r>
    </w:p>
    <w:p>
      <w:pPr>
        <w:pStyle w:val="kar_paragraph"/>
      </w:pPr>
      <w:r>
        <w:t xml:space="preserve">(c)</w:t>
      </w:r>
      <w:r>
        <w:t xml:space="preserve"> </w:t>
      </w:r>
      <w:r>
        <w:t xml:space="preserve">Dealer's principal location of business;</w:t>
      </w:r>
    </w:p>
    <w:p>
      <w:pPr>
        <w:pStyle w:val="kar_paragraph"/>
      </w:pPr>
      <w:r>
        <w:t xml:space="preserve">(d)</w:t>
      </w:r>
      <w:r>
        <w:t xml:space="preserve"> </w:t>
      </w:r>
      <w:r>
        <w:t xml:space="preserve">License plate number;</w:t>
      </w:r>
    </w:p>
    <w:p>
      <w:pPr>
        <w:pStyle w:val="kar_paragraph"/>
      </w:pPr>
      <w:r>
        <w:t xml:space="preserve">(e)</w:t>
      </w:r>
      <w:r>
        <w:t xml:space="preserve"> </w:t>
      </w:r>
      <w:r>
        <w:t xml:space="preserve">Date of delivery of motor vehicle or motorcycle;</w:t>
      </w:r>
    </w:p>
    <w:p>
      <w:pPr>
        <w:pStyle w:val="kar_paragraph"/>
      </w:pPr>
      <w:r>
        <w:t xml:space="preserve">(f)</w:t>
      </w:r>
      <w:r>
        <w:t xml:space="preserve"> </w:t>
      </w:r>
      <w:r>
        <w:t xml:space="preserve">Expiration date of temporary registration plate;</w:t>
      </w:r>
    </w:p>
    <w:p>
      <w:pPr>
        <w:pStyle w:val="kar_paragraph"/>
      </w:pPr>
      <w:r>
        <w:t xml:space="preserve">(g)</w:t>
      </w:r>
      <w:r>
        <w:t xml:space="preserve"> </w:t>
      </w:r>
      <w:r>
        <w:t xml:space="preserve">Name of purchaser of motor vehicle or motorcycle; and</w:t>
      </w:r>
    </w:p>
    <w:p>
      <w:pPr>
        <w:pStyle w:val="kar_paragraph"/>
      </w:pPr>
      <w:r>
        <w:t xml:space="preserve">(h)</w:t>
      </w:r>
      <w:r>
        <w:t xml:space="preserve"> </w:t>
      </w:r>
      <w:r>
        <w:t xml:space="preserve">Vehicle identification number, make, and model year.</w:t>
      </w:r>
    </w:p>
    <w:p>
      <w:pPr>
        <w:pStyle w:val="kar_subsection"/>
      </w:pPr>
      <w:r>
        <w:t xml:space="preserve">(3)</w:t>
      </w:r>
      <w:r>
        <w:t xml:space="preserve"> </w:t>
      </w:r>
      <w:r>
        <w:t xml:space="preserve">A Temporary Tag Log Form shall be made available upon request to officials of the Transportation Cabinet or law enforcement officers.</w:t>
      </w:r>
    </w:p>
    <w:p>
      <w:pPr>
        <w:pStyle w:val="kar_subsection"/>
      </w:pPr>
      <w:r>
        <w:t xml:space="preserve">(4)</w:t>
      </w:r>
      <w:r>
        <w:t xml:space="preserve"> </w:t>
      </w:r>
      <w:r>
        <w:t xml:space="preserve">The county clerk shall enter dealership applications for temporary registration license plates into the Transportation Cabinet's Automated Vehicle Information System. The application shall include the:</w:t>
      </w:r>
    </w:p>
    <w:p>
      <w:pPr>
        <w:pStyle w:val="kar_paragraph"/>
      </w:pPr>
      <w:r>
        <w:t xml:space="preserve">(a)</w:t>
      </w:r>
      <w:r>
        <w:t xml:space="preserve"> </w:t>
      </w:r>
      <w:r>
        <w:t xml:space="preserve">License plate number;</w:t>
      </w:r>
    </w:p>
    <w:p>
      <w:pPr>
        <w:pStyle w:val="kar_paragraph"/>
      </w:pPr>
      <w:r>
        <w:t xml:space="preserve">(b)</w:t>
      </w:r>
      <w:r>
        <w:t xml:space="preserve"> </w:t>
      </w:r>
      <w:r>
        <w:t xml:space="preserve">Person to whom the plate is issued;</w:t>
      </w:r>
    </w:p>
    <w:p>
      <w:pPr>
        <w:pStyle w:val="kar_paragraph"/>
      </w:pPr>
      <w:r>
        <w:t xml:space="preserve">(c)</w:t>
      </w:r>
      <w:r>
        <w:t xml:space="preserve"> </w:t>
      </w:r>
      <w:r>
        <w:t xml:space="preserve">Vehicle identification number of vehicle for which the plate is issued;</w:t>
      </w:r>
    </w:p>
    <w:p>
      <w:pPr>
        <w:pStyle w:val="kar_paragraph"/>
      </w:pPr>
      <w:r>
        <w:t xml:space="preserve">(d)</w:t>
      </w:r>
      <w:r>
        <w:t xml:space="preserve"> </w:t>
      </w:r>
      <w:r>
        <w:t xml:space="preserve">Expiration date of the plate; and</w:t>
      </w:r>
    </w:p>
    <w:p>
      <w:pPr>
        <w:pStyle w:val="kar_paragraph"/>
      </w:pPr>
      <w:r>
        <w:t xml:space="preserve">(e)</w:t>
      </w:r>
      <w:r>
        <w:t xml:space="preserve"> </w:t>
      </w:r>
      <w:r>
        <w:t xml:space="preserve">Name of the county clerk or employee of the county clerk who issued the plate.</w:t>
      </w:r>
    </w:p>
    <w:p>
      <w:pPr>
        <w:pStyle w:val="kar_section"/>
      </w:pPr>
      <w:r>
        <w:t xml:space="preserve">Section 5.</w:t>
      </w:r>
      <w:r>
        <w:t xml:space="preserve"> </w:t>
      </w:r>
      <w:r>
        <w:t xml:space="preserve">Completion of the Temporary Plate.</w:t>
      </w:r>
    </w:p>
    <w:p>
      <w:pPr>
        <w:pStyle w:val="kar_subsection"/>
      </w:pPr>
      <w:r>
        <w:t xml:space="preserve">(1)</w:t>
      </w:r>
      <w:r>
        <w:t xml:space="preserve"> </w:t>
      </w:r>
      <w:r>
        <w:t xml:space="preserve">All of the blank spaces of the temporary registration plate shall be completed by the issuing agent using a dark, indelible ink.</w:t>
      </w:r>
    </w:p>
    <w:p>
      <w:pPr>
        <w:pStyle w:val="kar_subsection"/>
      </w:pPr>
      <w:r>
        <w:t xml:space="preserve">(2)</w:t>
      </w:r>
      <w:r>
        <w:t xml:space="preserve"> </w:t>
      </w:r>
    </w:p>
    <w:p>
      <w:pPr>
        <w:pStyle w:val="kar_paragraph"/>
      </w:pPr>
      <w:r>
        <w:t xml:space="preserve">(a)</w:t>
      </w:r>
      <w:r>
        <w:t xml:space="preserve"> </w:t>
      </w:r>
      <w:r>
        <w:t xml:space="preserve">The top center portion of the temporary plate shall contain six (6) blocks to be filled in with the expiration date of the temporary plate.</w:t>
      </w:r>
    </w:p>
    <w:p>
      <w:pPr>
        <w:pStyle w:val="kar_paragraph"/>
      </w:pPr>
      <w:r>
        <w:t xml:space="preserve">(b)</w:t>
      </w:r>
      <w:r>
        <w:t xml:space="preserve"> </w:t>
      </w:r>
      <w:r>
        <w:t xml:space="preserve">One (1) numeral shall be entered in each block that shall:</w:t>
      </w:r>
    </w:p>
    <w:p>
      <w:pPr>
        <w:pStyle w:val="kar_subparagraph"/>
      </w:pPr>
      <w:r>
        <w:t xml:space="preserve">1.</w:t>
      </w:r>
      <w:r>
        <w:t xml:space="preserve"> </w:t>
      </w:r>
      <w:r>
        <w:t xml:space="preserve">Occupy at least eighty (80) percent of the block; and</w:t>
      </w:r>
    </w:p>
    <w:p>
      <w:pPr>
        <w:pStyle w:val="kar_subparagraph"/>
      </w:pPr>
      <w:r>
        <w:t xml:space="preserve">2.</w:t>
      </w:r>
      <w:r>
        <w:t xml:space="preserve"> </w:t>
      </w:r>
      <w:r>
        <w:t xml:space="preserve">Be written with a wide-tipped marker over the top of a temporary license tag that has a secured panographic background.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"Temporary Tag Log", TC Form 96-210, July 2010, is incorporated by reference.</w:t>
      </w:r>
    </w:p>
    <w:p>
      <w:pPr>
        <w:pStyle w:val="kar_subsection"/>
      </w:pPr>
      <w:r>
        <w:t xml:space="preserve">(2)</w:t>
      </w:r>
      <w:r>
        <w:t xml:space="preserve"> </w:t>
      </w:r>
      <w:r>
        <w:t xml:space="preserve">This material may be inspected, copied, or obtained, subject to applicable copyright law, at the Transportation Cabinet Building, Department of Vehicle Regulation, 200 Mero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741; eff. 10-4-1988; 17 Ky.R. 1150; eff. 11-12-1990; 3613; 4116; eff. 6-2-1997; 37 Ky.R. 1354; eff. 2-4-2011; Crt eff. 9-25-2019.)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3b6f4d8f644d75" /><Relationship Type="http://schemas.openxmlformats.org/officeDocument/2006/relationships/settings" Target="/word/settings.xml" Id="Ra700d36d5d0e4fb0" /></Relationships>
</file>