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25d80258764157" /></Relationships>
</file>

<file path=word/document.xml><?xml version="1.0" encoding="utf-8"?>
<w:document xmlns:w="http://schemas.openxmlformats.org/wordprocessingml/2006/main">
  <w:body>
    <w:p>
      <w:pPr>
        <w:pStyle w:val="kar_citation"/>
      </w:pPr>
      <w:r>
        <w:t>32 KAR 1:020.</w:t>
      </w:r>
      <w:r>
        <w:t xml:space="preserve"> </w:t>
      </w:r>
      <w:r>
        <w:t xml:space="preserve">Statement of spending intent and appointment of campaign treasurer.</w:t>
      </w:r>
    </w:p>
    <w:p>
      <w:pPr>
        <w:pStyle w:val="kar_markup_metadata"/>
      </w:pPr>
      <w:r>
        <w:t xml:space="preserve">RELATES TO: </w:t>
      </w:r>
      <w:r>
        <w:t xml:space="preserve">KRS 121.160(1), 121.180(1)</w:t>
      </w:r>
    </w:p>
    <w:p>
      <w:pPr>
        <w:pStyle w:val="kar_markup_metadata"/>
      </w:pPr>
      <w:r>
        <w:t xml:space="preserve">STATUTORY AUTHORITY: </w:t>
      </w:r>
      <w:r>
        <w:t xml:space="preserve">KRS 121.120(1)(g), (4)</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121.120(4) requires the Registry to promulgate administrative regulations and prescribe forms for the making of reports under KRS Chapter 121. KRS 121.160(1) requires candidates as part of their filing papers to designate a campaign treasurer. KRS 121.180(1) permits certain candidates to request an exemption from reporting to the Registry when they file for office. This administrative regulation establishes a single form for the appointment of a campaign treasurer and the optional request for exemption from reporting.</w:t>
      </w:r>
    </w:p>
    <w:p>
      <w:pPr>
        <w:pStyle w:val="kar_section"/>
      </w:pPr>
      <w:r>
        <w:t xml:space="preserve">Section 1.</w:t>
      </w:r>
      <w:r>
        <w:t xml:space="preserve"> </w:t>
      </w:r>
      <w:r>
        <w:t xml:space="preserve">Appointment of Campaign Treasurer. The Statement of Spending Intent and Appointment of Campaign Treasurer Form shall be the official form to be used by candidates for the appointment of a campaign treasurer under KRS 121.160(1).</w:t>
      </w:r>
    </w:p>
    <w:p>
      <w:pPr>
        <w:pStyle w:val="kar_section"/>
      </w:pPr>
      <w:r>
        <w:t xml:space="preserve">Section 2.</w:t>
      </w:r>
      <w:r>
        <w:t xml:space="preserve"> </w:t>
      </w:r>
      <w:r>
        <w:t xml:space="preserve">Optional Request for Reporting Exemption.</w:t>
      </w:r>
    </w:p>
    <w:p>
      <w:pPr>
        <w:pStyle w:val="kar_subsection"/>
      </w:pPr>
      <w:r>
        <w:t xml:space="preserve">(1)</w:t>
      </w:r>
      <w:r>
        <w:t xml:space="preserve"> </w:t>
      </w:r>
      <w:r>
        <w:t xml:space="preserve">The Statement of Spending Intent and Appointment of Campaign Treasurer Form shall be the official form to be used by candidates seeking an exemption from election finance reporting under KRS 121.180(1)(a).</w:t>
      </w:r>
    </w:p>
    <w:p>
      <w:pPr>
        <w:pStyle w:val="kar_subsection"/>
      </w:pPr>
      <w:r>
        <w:t xml:space="preserve">(2)</w:t>
      </w:r>
      <w:r>
        <w:t xml:space="preserve"> </w:t>
      </w:r>
      <w:r>
        <w:t xml:space="preserve">The Statement of Spending Intent and Appointment of Campaign Treasurer Form shall be the official form to be used by candidates seeking to rescind a request for exemption from election finance reporting under KRS 121.180(1)(b).</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"Statement of Spending Intent and Appointment of Campaign Treasurer Form " reference KREF 001, revised 11/2017 is incorporated by reference.</w:t>
      </w:r>
    </w:p>
    <w:p>
      <w:pPr>
        <w:pStyle w:val="kar_subsection"/>
      </w:pPr>
      <w:r>
        <w:t xml:space="preserve">(2)</w:t>
      </w:r>
      <w:r>
        <w:t xml:space="preserve"> </w:t>
      </w:r>
      <w:r>
        <w:t xml:space="preserve">This material may be inspected, copied, or obtained, subject to applicable copyright law, at the office of the Kentucky Registry of Election Finance,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(REF-1-1; 1 Ky.R. 248; eff. 1-8-1975; Am. 10 Ky.R. 1008; 1115; eff. 3-31-1984; 16 Ky.R. 485; eff. 10-6-1989; Recodified from 801 KAR 1:005, 8-5-1992; 29 Ky.R. 2929; 30 Ky.R. 271; eff. 8-13-2003; 32 Ky.R. 701; 1080; eff. 1-6-2006; 44 Ky.R. 550, 1209; eff. 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be8b3f2fb34a16" /><Relationship Type="http://schemas.openxmlformats.org/officeDocument/2006/relationships/settings" Target="/word/settings.xml" Id="R9c3460c4cf0b4078" /></Relationships>
</file>