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bda243eedb4534" /></Relationships>
</file>

<file path=word/document.xml><?xml version="1.0" encoding="utf-8"?>
<w:document xmlns:w="http://schemas.openxmlformats.org/wordprocessingml/2006/main">
  <w:body>
    <w:p>
      <w:pPr>
        <w:pStyle w:val="kar_citation"/>
      </w:pPr>
      <w:r>
        <w:t>32 KAR 1:030.</w:t>
      </w:r>
      <w:r>
        <w:t xml:space="preserve"> </w:t>
      </w:r>
      <w:r>
        <w:t xml:space="preserve">Election finance statement forms; campaign contributions or expenditures in excess of $3,000.</w:t>
      </w:r>
    </w:p>
    <w:p>
      <w:pPr>
        <w:pStyle w:val="kar_markup_metadata"/>
      </w:pPr>
      <w:r>
        <w:t xml:space="preserve">RELATES TO: </w:t>
      </w:r>
      <w:r>
        <w:t xml:space="preserve">KRS 121.180</w:t>
      </w:r>
    </w:p>
    <w:p>
      <w:pPr>
        <w:pStyle w:val="kar_markup_metadata"/>
      </w:pPr>
      <w:r>
        <w:t xml:space="preserve">STATUTORY AUTHORITY: </w:t>
      </w:r>
      <w:r>
        <w:t xml:space="preserve">KRS 121.120(1)(g), (4)</w:t>
      </w:r>
    </w:p>
    <w:p>
      <w:pPr>
        <w:pStyle w:val="kar_markup_metadata"/>
      </w:pPr>
      <w:r>
        <w:t xml:space="preserve">NECESSITY, FUNCTION, AND CONFORMITY: </w:t>
      </w:r>
      <w:r>
        <w:t xml:space="preserve">KRS 121.120(1)(g) authorizes the Registry to promulgate administrative regulations necessary to carry out the provisions of KRS Chapter 121. KRS 121.120(4) requires the Registry to promulgate administrative regulations and prescribe forms for the making of reports under KRS Chapter 121. This administrative regulation specifies the forms to be used by candidates, slates of candidates, contributing organizations, and committees, and incorporates those forms by reference.</w:t>
      </w:r>
    </w:p>
    <w:p>
      <w:pPr>
        <w:pStyle w:val="kar_section"/>
      </w:pPr>
      <w:r>
        <w:t xml:space="preserve">Section 1.</w:t>
      </w:r>
      <w:r>
        <w:t xml:space="preserve"> </w:t>
      </w:r>
      <w:r>
        <w:t xml:space="preserve">The following candidates, slates of candidates, contributing organizations, and committees shall file the reports required by KRS 121.180 on the forms incorporated by reference in this administrative regulation:</w:t>
      </w:r>
    </w:p>
    <w:p>
      <w:pPr>
        <w:pStyle w:val="kar_subsection"/>
      </w:pPr>
      <w:r>
        <w:t xml:space="preserve">(1)</w:t>
      </w:r>
      <w:r>
        <w:t xml:space="preserve"> </w:t>
      </w:r>
      <w:r>
        <w:t xml:space="preserve">Candidate campaign funds, gubernatorial slate campaign funds, political issues committees, and candidate-authorized campaign committees who register an intent to raise or spend more than $3,000 or actually receive contributions or make expenditures in excess of $3,000; and</w:t>
      </w:r>
    </w:p>
    <w:p>
      <w:pPr>
        <w:pStyle w:val="kar_subsection"/>
      </w:pPr>
      <w:r>
        <w:t xml:space="preserve">(2)</w:t>
      </w:r>
      <w:r>
        <w:t xml:space="preserve"> </w:t>
      </w:r>
      <w:r>
        <w:t xml:space="preserve">All permanent committees, caucus campaign committees, inaugural committees, contributing organizations, unauthorized campaign committees, and political party executive committees regardless of the amount of contributions or expenditures.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"Candidate/Slate of Candidates Election Finance Statement", reference KREF 006, revised 08/2018;</w:t>
      </w:r>
    </w:p>
    <w:p>
      <w:pPr>
        <w:pStyle w:val="kar_paragraph"/>
      </w:pPr>
      <w:r>
        <w:t xml:space="preserve">(b)</w:t>
      </w:r>
      <w:r>
        <w:t xml:space="preserve"> </w:t>
      </w:r>
      <w:r>
        <w:t xml:space="preserve">"Executive Committee/ Caucus Campaign Committee Election Finance Statement", reference KREF 006/EC, revised 08/2018;</w:t>
      </w:r>
    </w:p>
    <w:p>
      <w:pPr>
        <w:pStyle w:val="kar_paragraph"/>
      </w:pPr>
      <w:r>
        <w:t xml:space="preserve">(c)</w:t>
      </w:r>
      <w:r>
        <w:t xml:space="preserve"> </w:t>
      </w:r>
      <w:r>
        <w:t xml:space="preserve">"Unauthorized Campaign Committee/ Political Issues Committee Election Finance Statement", reference KREF 006/UCC-IC, revised 08/2018;</w:t>
      </w:r>
    </w:p>
    <w:p>
      <w:pPr>
        <w:pStyle w:val="kar_paragraph"/>
      </w:pPr>
      <w:r>
        <w:t xml:space="preserve">(d)</w:t>
      </w:r>
      <w:r>
        <w:t xml:space="preserve"> </w:t>
      </w:r>
      <w:r>
        <w:t xml:space="preserve">"Inaugural Committee Election Finance Statement", reference KREF 006/I, revised 08/2018; and</w:t>
      </w:r>
    </w:p>
    <w:p>
      <w:pPr>
        <w:pStyle w:val="kar_paragraph"/>
      </w:pPr>
      <w:r>
        <w:t xml:space="preserve">(e)</w:t>
      </w:r>
      <w:r>
        <w:t xml:space="preserve"> </w:t>
      </w:r>
      <w:r>
        <w:t xml:space="preserve">"Permanent Committee (PAC)/ Contributing Organization Election Finance Statement", reference KREF 006/PAC-CO, revised 08/2018.</w:t>
      </w:r>
    </w:p>
    <w:p>
      <w:pPr>
        <w:pStyle w:val="kar_subsection"/>
      </w:pPr>
      <w:r>
        <w:t xml:space="preserve">(2)</w:t>
      </w:r>
      <w:r>
        <w:t xml:space="preserve"> </w:t>
      </w:r>
      <w:r>
        <w:t xml:space="preserve">This material may be inspected, copied, or obtained, subject to applicable copyright law, at the office of the Kentucky Registry of Election Finance,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(REF-3-1; 1 Ky.R. 4; Am. 16; eff. 7-7-1975; 10 Ky.R. 1008; 1105; eff. 3-31-1984; 16 Ky.R. 486; eff. 10-6-1989; recodified from 801 KAR 1:010, 8-5-1992; 32 Ky.R. 702; 1080; eff. 1-6-2006; 37 Ky.R. 1502; eff. 3-4-2011; 45 Ky.R. 1052, 2055; eff. 2-1-2019.)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4cce825b9e47ae" /><Relationship Type="http://schemas.openxmlformats.org/officeDocument/2006/relationships/settings" Target="/word/settings.xml" Id="Rddbe54a034cd4b93" /></Relationships>
</file>