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cc92d0d1a9140f4" /></Relationships>
</file>

<file path=word/document.xml><?xml version="1.0" encoding="utf-8"?>
<w:document xmlns:w="http://schemas.openxmlformats.org/wordprocessingml/2006/main">
  <w:body>
    <w:p>
      <w:pPr>
        <w:pStyle w:val="kar_citation"/>
      </w:pPr>
      <w:r>
        <w:t>32 KAR 1:090.</w:t>
      </w:r>
      <w:r>
        <w:t xml:space="preserve"> </w:t>
      </w:r>
      <w:r>
        <w:t xml:space="preserve">Financial disclosure report.</w:t>
      </w:r>
    </w:p>
    <w:p>
      <w:pPr>
        <w:pStyle w:val="kar_markup_metadata"/>
      </w:pPr>
      <w:r>
        <w:t xml:space="preserve">RELATES TO: </w:t>
      </w:r>
      <w:r>
        <w:t xml:space="preserve">KRS 61.710-61.780</w:t>
      </w:r>
    </w:p>
    <w:p>
      <w:pPr>
        <w:pStyle w:val="kar_markup_metadata"/>
      </w:pPr>
      <w:r>
        <w:t xml:space="preserve">STATUTORY AUTHORITY: </w:t>
      </w:r>
      <w:r>
        <w:t xml:space="preserve">KRS 13A.110, 61.760(2)</w:t>
      </w:r>
    </w:p>
    <w:p>
      <w:pPr>
        <w:pStyle w:val="kar_markup_metadata"/>
      </w:pPr>
      <w:r>
        <w:t xml:space="preserve">NECESSITY, FUNCTION, AND CONFORMITY: </w:t>
      </w:r>
      <w:r>
        <w:t xml:space="preserve">KRS 61.760 requires the Registry of Election Finance to adopt such administrative regulations and official forms and perform such duties as are necessary to implement the provisions of KRS 61.710 to 61.780. The Registry is authorized and empowered to develop prescribed forms for making required reports. KRS 61.760(2)(a).</w:t>
      </w:r>
    </w:p>
    <w:p>
      <w:pPr>
        <w:pStyle w:val="kar_section"/>
      </w:pPr>
      <w:r>
        <w:t xml:space="preserve">Section 1.</w:t>
      </w:r>
      <w:r>
        <w:t xml:space="preserve"> </w:t>
      </w:r>
      <w:r>
        <w:t xml:space="preserve">"Financial disclosure report" form can be obtained at the Kentucky Registry of Election Finance, 140 Walnut Street, Frankfort, Kentucky 40601. The form is hereby incorporated by reference.</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1457; eff. 3-4-1986; Recodified from 801 KAR 1:110, eff. 8-5-1992; Crt eff. 9-27-2019; Crt eff. 1-20-2026.)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77d5c4138b4562" /><Relationship Type="http://schemas.openxmlformats.org/officeDocument/2006/relationships/settings" Target="/word/settings.xml" Id="Rfb4cb674f87240b6" /></Relationships>
</file>