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a68ab01c954992" /></Relationships>
</file>

<file path=word/document.xml><?xml version="1.0" encoding="utf-8"?>
<w:document xmlns:w="http://schemas.openxmlformats.org/wordprocessingml/2006/main">
  <w:body>
    <w:p>
      <w:pPr>
        <w:pStyle w:val="kar_citation"/>
      </w:pPr>
      <w:r>
        <w:t>32 KAR 1:100.</w:t>
      </w:r>
      <w:r>
        <w:t xml:space="preserve"> </w:t>
      </w:r>
      <w:r>
        <w:t xml:space="preserve">Slate software.</w:t>
      </w:r>
    </w:p>
    <w:p>
      <w:pPr>
        <w:pStyle w:val="kar_markup_metadata"/>
      </w:pPr>
      <w:r>
        <w:t xml:space="preserve">RELATES TO: </w:t>
      </w:r>
      <w:r>
        <w:t xml:space="preserve">KRS 121.120(6), 121.180</w:t>
      </w:r>
    </w:p>
    <w:p>
      <w:pPr>
        <w:pStyle w:val="kar_markup_metadata"/>
      </w:pPr>
      <w:r>
        <w:t xml:space="preserve">STATUTORY AUTHORITY: </w:t>
      </w:r>
      <w:r>
        <w:t xml:space="preserve">KRS 121.120(1)(g), (4), 121.160(6)(a)</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121.120(4) requires the Kentucky Registry of Election Finance to promulgate administrative regulations, adopt official forms, and perform other duties necessary to implement the provisions of KRS Chapter 121. KRS 121.120(6) requires the Kentucky Registry of Election Finance to promulgate administrative regulations to provide for a nonproprietary standardized format or formats, using industry standards, for the transmission of data required under KRS Chapter 121, concerning campaign financing. KRS 121.120(6) also requires the Kentucky Registry of Election Finance to promulgate a filer format, to provide free filer software, and to post campaign finance data for statewide candidates on the Internet within ten (10) days of filing. KRS 121.180(12)(c) specifically requires that electronic reporting be made available for all statewide candidates, including slates of candidates for Governor and Lieutenant Governor. This administrative regulation establishes requirements for electronic reporting for slates of candidates using the designated Electronic Reporting Data Transmission Format for gubernatorial elections.</w:t>
      </w:r>
    </w:p>
    <w:p>
      <w:pPr>
        <w:pStyle w:val="kar_section"/>
      </w:pPr>
      <w:r>
        <w:t xml:space="preserve">Section 1.</w:t>
      </w:r>
      <w:r>
        <w:t xml:space="preserve"> </w:t>
      </w:r>
      <w:r>
        <w:t xml:space="preserve">All slates of candidates, their treasurers, and all campaign committees for slates of candidates that elect to use filer-side software to compile, store, or transmit electronically campaign finance data shall:</w:t>
      </w:r>
    </w:p>
    <w:p>
      <w:pPr>
        <w:pStyle w:val="kar_subsection"/>
      </w:pPr>
      <w:r>
        <w:t xml:space="preserve">(1)</w:t>
      </w:r>
      <w:r>
        <w:t xml:space="preserve"> </w:t>
      </w:r>
      <w:r>
        <w:t xml:space="preserve">Use only the filer-side software for electronic reporting that has been determined to comply with the "Electronic Reporting Data Transmission Format, 2003 Edition", promulgated under 32 KAR 2:220; and</w:t>
      </w:r>
    </w:p>
    <w:p>
      <w:pPr>
        <w:pStyle w:val="kar_subsection"/>
      </w:pPr>
      <w:r>
        <w:t xml:space="preserve">(2)</w:t>
      </w:r>
      <w:r>
        <w:t xml:space="preserve"> </w:t>
      </w:r>
      <w:r>
        <w:t xml:space="preserve">Submit an electronic version generated by the compliant filer-side software of all campaign finance reports required under KRS 121.180, 121A.020(5) and 32 KAR 1:180 by filing on diskette or via the Kentucky Registry of Election Finance's online Internet filing system, accompanied by the original paper copy.</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"Electronic Reporting Data Transmission Format, 2003 Edition"; and</w:t>
      </w:r>
    </w:p>
    <w:p>
      <w:pPr>
        <w:pStyle w:val="kar_paragraph"/>
      </w:pPr>
      <w:r>
        <w:t xml:space="preserve">(b)</w:t>
      </w:r>
      <w:r>
        <w:t xml:space="preserve"> </w:t>
      </w:r>
      <w:r>
        <w:t xml:space="preserve">The "Electronic Reporting Software Vendor List, 2002 Edition".</w:t>
      </w:r>
    </w:p>
    <w:p>
      <w:pPr>
        <w:pStyle w:val="kar_subsection"/>
      </w:pPr>
      <w:r>
        <w:t xml:space="preserve">(2)</w:t>
      </w:r>
      <w:r>
        <w:t xml:space="preserve"> </w:t>
      </w:r>
      <w:r>
        <w:t xml:space="preserve">This material may be inspected, copied, or obtained, subject to applicable copyright law, at the Kentucky Registry of Election Finance, 140 Walnut Street, Frankfort, Kentucky 40601, Monday through Friday, 8 a.m. to 4:30 p.m. The material may also be obtained at http://www.kref. ky.gov.</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687; eff. 10-10-1994; 29 Ky.R. 2307; 2656; eff. 5-15-2003; 32 Ky.R. 706; 1082; eff. 1-6-2006.)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53441e3ca54519" /><Relationship Type="http://schemas.openxmlformats.org/officeDocument/2006/relationships/settings" Target="/word/settings.xml" Id="Rb7a52027748d4e6e" /></Relationships>
</file>