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ec320ac3ba46a9" /></Relationships>
</file>

<file path=word/document.xml><?xml version="1.0" encoding="utf-8"?>
<w:document xmlns:w="http://schemas.openxmlformats.org/wordprocessingml/2006/main">
  <w:body>
    <w:p>
      <w:pPr>
        <w:pStyle w:val="kar_citation"/>
      </w:pPr>
      <w:r>
        <w:t>602 KAR 20:030.</w:t>
      </w:r>
      <w:r>
        <w:t xml:space="preserve"> </w:t>
      </w:r>
      <w:r>
        <w:t xml:space="preserve">Standards applicable to all airports.</w:t>
      </w:r>
    </w:p>
    <w:p>
      <w:pPr>
        <w:pStyle w:val="kar_markup_metadata"/>
      </w:pPr>
      <w:r>
        <w:t xml:space="preserve">RELATES TO: </w:t>
      </w:r>
      <w:r>
        <w:t xml:space="preserve">KRS 183.090, 183.110</w:t>
      </w:r>
    </w:p>
    <w:p>
      <w:pPr>
        <w:pStyle w:val="kar_markup_metadata"/>
      </w:pPr>
      <w:r>
        <w:t xml:space="preserve">STATUTORY AUTHORITY: </w:t>
      </w:r>
      <w:r>
        <w:t xml:space="preserve">KRS 183.024</w:t>
      </w:r>
    </w:p>
    <w:p>
      <w:pPr>
        <w:pStyle w:val="kar_markup_metadata"/>
      </w:pPr>
      <w:r>
        <w:t xml:space="preserve">NECESSITY, FUNCTION, AND CONFORMITY: </w:t>
      </w:r>
      <w:r>
        <w:t xml:space="preserve">This administrative regulation sets forth the safety and adequacy standards applicable to all airports including heliports that an airport owner is required to comply with before the Transportation Cabinet may issue a Landing Area Designation to the airport.</w:t>
      </w:r>
    </w:p>
    <w:p>
      <w:pPr>
        <w:pStyle w:val="kar_section"/>
      </w:pPr>
      <w:r>
        <w:t xml:space="preserve">Section 1.</w:t>
      </w:r>
      <w:r>
        <w:t xml:space="preserve"> </w:t>
      </w:r>
      <w:r>
        <w:t xml:space="preserve">Definitions.</w:t>
      </w:r>
    </w:p>
    <w:p>
      <w:pPr>
        <w:pStyle w:val="kar_subsection"/>
      </w:pPr>
      <w:r>
        <w:t xml:space="preserve">(1)</w:t>
      </w:r>
      <w:r>
        <w:t xml:space="preserve"> </w:t>
      </w:r>
      <w:r>
        <w:t xml:space="preserve">"Displaced threshold" means a marked threshold located at a point on the runway other than at the runway end.</w:t>
      </w:r>
    </w:p>
    <w:p>
      <w:pPr>
        <w:pStyle w:val="kar_subsection"/>
      </w:pPr>
      <w:r>
        <w:t xml:space="preserve">(2)</w:t>
      </w:r>
      <w:r>
        <w:t xml:space="preserve"> </w:t>
      </w:r>
      <w:r>
        <w:t xml:space="preserve">"Helicopter" means a rotorcraft that, for its horizontal motion, depends principally on its engine-driven rotors.</w:t>
      </w:r>
    </w:p>
    <w:p>
      <w:pPr>
        <w:pStyle w:val="kar_subsection"/>
      </w:pPr>
      <w:r>
        <w:t xml:space="preserve">(3)</w:t>
      </w:r>
      <w:r>
        <w:t xml:space="preserve"> </w:t>
      </w:r>
      <w:r>
        <w:t xml:space="preserve">"Heliport" means an airport used exclusively or intended to be used for the landing and takeoff of helicopters. It may either be at ground level or elevated on a structure.</w:t>
      </w:r>
    </w:p>
    <w:p>
      <w:pPr>
        <w:pStyle w:val="kar_subsection"/>
      </w:pPr>
      <w:r>
        <w:t xml:space="preserve">(4)</w:t>
      </w:r>
      <w:r>
        <w:t xml:space="preserve"> </w:t>
      </w:r>
      <w:r>
        <w:t xml:space="preserve">"Primary surface" means a surface longitudinally centered on a runway. When the runway has a specially prepared hard surface, the primary surface extends 200 feet beyond each end of that runway; but when the runway has no specially prepared hard surface, or planned hard surface, the primary surface ends at each end of that runway. The elevation of any point of the primary surface is the same as the elevation of the nearest point of the runway centerline.</w:t>
      </w:r>
    </w:p>
    <w:p>
      <w:pPr>
        <w:pStyle w:val="kar_subsection"/>
      </w:pPr>
      <w:r>
        <w:t xml:space="preserve">(5)</w:t>
      </w:r>
      <w:r>
        <w:t xml:space="preserve"> </w:t>
      </w:r>
      <w:r>
        <w:t xml:space="preserve">"Runway" means the surface of an airport used for the landing and taking off of aircraft as depicted on the airport zoning map or airport master plan, and Federal Aviation Administration form 7480-1 Notice of Landing Area Proposal.</w:t>
      </w:r>
    </w:p>
    <w:p>
      <w:pPr>
        <w:pStyle w:val="kar_section"/>
      </w:pPr>
      <w:r>
        <w:t xml:space="preserve">Section 2.</w:t>
      </w:r>
      <w:r>
        <w:t xml:space="preserve"> </w:t>
      </w:r>
      <w:r>
        <w:t xml:space="preserve">All airports including heliports regardless of classification shall provide the following basic facilities:</w:t>
      </w:r>
    </w:p>
    <w:p>
      <w:pPr>
        <w:pStyle w:val="kar_subsection"/>
      </w:pPr>
      <w:r>
        <w:t xml:space="preserve">(1)</w:t>
      </w:r>
      <w:r>
        <w:t xml:space="preserve"> </w:t>
      </w:r>
      <w:r>
        <w:t xml:space="preserve">A wind indicator of sufficient size to be plainly discernible from an altitude of 1000 feet. The wind indicator shall not be required at an airport with a Federal Aviation Administration control tower which operates twenty-four (24) hours a day; and</w:t>
      </w:r>
    </w:p>
    <w:p>
      <w:pPr>
        <w:pStyle w:val="kar_subsection"/>
      </w:pPr>
      <w:r>
        <w:t xml:space="preserve">(2)</w:t>
      </w:r>
      <w:r>
        <w:t xml:space="preserve"> </w:t>
      </w:r>
      <w:r>
        <w:t xml:space="preserve">A number of markers sufficient to make plainly discernible the turf runway or landing area usable or in use; or</w:t>
      </w:r>
    </w:p>
    <w:p>
      <w:pPr>
        <w:pStyle w:val="kar_subsection"/>
      </w:pPr>
      <w:r>
        <w:t xml:space="preserve">(3)</w:t>
      </w:r>
      <w:r>
        <w:t xml:space="preserve"> </w:t>
      </w:r>
      <w:r>
        <w:t xml:space="preserve">A paved runway or landing area shall have painted markings.</w:t>
      </w:r>
    </w:p>
    <w:p>
      <w:pPr>
        <w:pStyle w:val="kar_section"/>
      </w:pPr>
      <w:r>
        <w:t xml:space="preserve">Section 3.</w:t>
      </w:r>
      <w:r>
        <w:t xml:space="preserve"> </w:t>
      </w:r>
      <w:r>
        <w:t xml:space="preserve">All airports including heliports that maintain aircraft servicing facilities shall provide:</w:t>
      </w:r>
    </w:p>
    <w:p>
      <w:pPr>
        <w:pStyle w:val="kar_subsection"/>
      </w:pPr>
      <w:r>
        <w:t xml:space="preserve">(1)</w:t>
      </w:r>
      <w:r>
        <w:t xml:space="preserve"> </w:t>
      </w:r>
      <w:r>
        <w:t xml:space="preserve">Fire extinguishers in sufficient number and sizes to control probable fires.</w:t>
      </w:r>
    </w:p>
    <w:p>
      <w:pPr>
        <w:pStyle w:val="kar_subsection"/>
      </w:pPr>
      <w:r>
        <w:t xml:space="preserve">(2)</w:t>
      </w:r>
      <w:r>
        <w:t xml:space="preserve"> </w:t>
      </w:r>
      <w:r>
        <w:t xml:space="preserve">Telephone maintained in proper operating condition.</w:t>
      </w:r>
    </w:p>
    <w:p>
      <w:pPr>
        <w:pStyle w:val="kar_section"/>
      </w:pPr>
      <w:r>
        <w:t xml:space="preserve">Section 4.</w:t>
      </w:r>
      <w:r>
        <w:t xml:space="preserve"> </w:t>
      </w:r>
      <w:r>
        <w:t xml:space="preserve">The owner of an airport not including heliports shall have control of the primary surface and in addition no fences or other obstructions shall be located within 200 feet of the ends of a runway unless a displaced threshold on the runway is approved by the Transportation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(KAV-1a; 1 Ky.R. 1041; eff. 6-11-1975; 2 Ky.R. 125; eff. 10-8-1975; 16 Ky.R. 445; eff. 11-4-1989;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0de0c92ac44dc9" /><Relationship Type="http://schemas.openxmlformats.org/officeDocument/2006/relationships/settings" Target="/word/settings.xml" Id="R824d0c03dee44dbb" /></Relationships>
</file>