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3add3cad24a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4:055.</w:t>
      </w:r>
      <w:r>
        <w:t xml:space="preserve"> </w:t>
      </w:r>
      <w:r>
        <w:t xml:space="preserve">Scenic highways and byways.</w:t>
      </w:r>
    </w:p>
    <w:p>
      <w:pPr>
        <w:pStyle w:val="kar_markup_metadata"/>
      </w:pPr>
      <w:r>
        <w:t xml:space="preserve">RELATES TO: </w:t>
      </w:r>
      <w:r>
        <w:t xml:space="preserve">KRS 177.571, 177.572, 177.573, 177.574, 177.575, 177.576</w:t>
      </w:r>
    </w:p>
    <w:p>
      <w:pPr>
        <w:pStyle w:val="kar_markup_metadata"/>
      </w:pPr>
      <w:r>
        <w:t xml:space="preserve">STATUTORY AUTHORITY: </w:t>
      </w:r>
      <w:r>
        <w:t xml:space="preserve">KRS 177.573</w:t>
      </w:r>
    </w:p>
    <w:p>
      <w:pPr>
        <w:pStyle w:val="kar_markup_metadata"/>
      </w:pPr>
      <w:r>
        <w:t xml:space="preserve">NECESSITY, FUNCTION, AND CONFORMITY: </w:t>
      </w:r>
      <w:r>
        <w:t xml:space="preserve">KRS 177.573 requires the Transportation Cabinet to prescribe by administrative regulation, criteria for scenic highways and byways designation and a process for the nomination, review, designation and removal of a road as a scenic highway and byway.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"Kentucky Scenic Highways and Byways Guidelines and Application" Form TC 52-200 shall govern the Transportation Cabinet's Scenic Highways and Byways Program.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Removal of Scenic Highway and Byway Designation.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When the Transportation Cabinet is notified that a road or road segment meets the criteria required to remain in the system, the Transportation Cabinet shall research the claim and make a determination on the removal of the scenic designation.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Transportation Cabinet shall notify interested individuals of the decision.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Appeal procedures.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party aggrieved by the action of the Transportation Cabinet pursuant to the provisions of this administrative regulation within twenty (20) days of the date of the action may file a written appeal with the Transportation Tourism Interagency Committee.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appeal shall set forth in detail, the nature of the complaint and the grounds for the appeal.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appeal shall be placed on the agenda for the next Transportation Tourism Interagency Committee (TTIC) meeting. The Transportation Tourism Interagency Committee shall issue a recommendation on the appeal within sixty (60) days to the Secretary of Transportation.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Secretary of Transportation shall issue a decision on the appeal within ten (10) days.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"Scenic Highways and Byways Guidelines and Application" TC 52-200, (2/99 Edition), Transportation Cabinet,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It may be inspected, copied, or obtained at Transportation Cabinet, Department of Highways, Division of Transportation Planning, 501 High Street, Frankfort, Kentucky 40622,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(603 KAR 004:055. 25 Ky.R. 1767; 2420; 2888; eff. 6-1-1999; Crt eff. 11-26-2019; Crt eff. 12-5-2025.)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6c9dd52daa44d0" /><Relationship Type="http://schemas.openxmlformats.org/officeDocument/2006/relationships/settings" Target="/word/settings.xml" Id="Rfa33c67bc0ce455e" /></Relationships>
</file>