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15927c3fb49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3:075.</w:t>
      </w:r>
      <w:r>
        <w:t xml:space="preserve"> </w:t>
      </w:r>
      <w:r>
        <w:t xml:space="preserve">Substitute teachers' salary scheduling.</w:t>
      </w:r>
    </w:p>
    <w:p>
      <w:pPr>
        <w:pStyle w:val="kar_markup_metadata"/>
      </w:pPr>
      <w:r>
        <w:t xml:space="preserve">RELATES TO: </w:t>
      </w:r>
      <w:r>
        <w:t xml:space="preserve">KRS 156.160(1)(i)</w:t>
      </w:r>
    </w:p>
    <w:p>
      <w:pPr>
        <w:pStyle w:val="kar_markup_metadata"/>
      </w:pPr>
      <w:r>
        <w:t xml:space="preserve">STATUTORY AUTHORITY: </w:t>
      </w:r>
      <w:r>
        <w:t xml:space="preserve">KRS 156.160(1)(i)</w:t>
      </w:r>
    </w:p>
    <w:p>
      <w:pPr>
        <w:pStyle w:val="kar_markup_metadata"/>
      </w:pPr>
      <w:r>
        <w:t xml:space="preserve">NECESSITY, FUNCTION, AND CONFORMITY: </w:t>
      </w:r>
      <w:r>
        <w:t xml:space="preserve">KRS 156.160(1)(i) requires the Kentucky Board for Education to promulgate administrative regulations relating to the preparation of salary schedules for local school districts. This administrative regulation establishes criteria for a pay schedule for substitute teaching.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local board of education shall adopt annually a per diem pay schedule for substitute teaching.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substitute teacher shall be paid on a single salary schedule based on training and experience.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substitute teacher shall be ranked in accordance with requirements outlined in KRS 157.390.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pay schedule for substitute teaching shall be the same, higher, or lower than the rate of pay for a regular full-time teacher.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(SBE 21.075; 1 Ky.R. 70; eff. 11-13-1974; 17 Ky.R. 1552; eff. 12-9-1990; 26 Ky.R. 642; 1000; eff. 11-1-1999; Crt eff. 11-16-2018; Crt eff. 3-27-2025.)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bd862b8c542c8" /><Relationship Type="http://schemas.openxmlformats.org/officeDocument/2006/relationships/settings" Target="/word/settings.xml" Id="R0c2411cca45d44fc" /></Relationships>
</file>