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3c5ce91f054bfe" /></Relationships>
</file>

<file path=word/document.xml><?xml version="1.0" encoding="utf-8"?>
<w:document xmlns:w="http://schemas.openxmlformats.org/wordprocessingml/2006/main">
  <w:body>
    <w:p>
      <w:pPr>
        <w:pStyle w:val="kar_citation"/>
      </w:pPr>
      <w:r>
        <w:t>702 KAR 6:060.</w:t>
      </w:r>
      <w:r>
        <w:t xml:space="preserve"> </w:t>
      </w:r>
      <w:r>
        <w:t xml:space="preserve">Time minimum for meals.</w:t>
      </w:r>
    </w:p>
    <w:p>
      <w:pPr>
        <w:pStyle w:val="kar_markup_metadata"/>
      </w:pPr>
      <w:r>
        <w:t xml:space="preserve">RELATES TO: </w:t>
      </w:r>
      <w:r>
        <w:t xml:space="preserve">KRS 156.031, 156.160</w:t>
      </w:r>
    </w:p>
    <w:p>
      <w:pPr>
        <w:pStyle w:val="kar_markup_metadata"/>
      </w:pPr>
      <w:r>
        <w:t xml:space="preserve">STATUTORY AUTHORITY: </w:t>
      </w:r>
      <w:r>
        <w:t xml:space="preserve">KRS 156.035, 156.070, 156.160</w:t>
      </w:r>
    </w:p>
    <w:p>
      <w:pPr>
        <w:pStyle w:val="kar_markup_metadata"/>
      </w:pPr>
      <w:r>
        <w:t xml:space="preserve">NECESSITY, FUNCTION, AND CONFORMITY: </w:t>
      </w:r>
      <w:r>
        <w:t xml:space="preserve">This administrative regulation is needed to carry out the Congressional intent of the National School Lunch Act of 1946, the Child Nutrition Act of 1966 and all amendments thereto, and is needed to allow sufficient time for school children to eat. Reconsideration and refiling of this administrative regulation is required pursuant to KRS 156.031.</w:t>
      </w:r>
    </w:p>
    <w:p>
      <w:pPr>
        <w:pStyle w:val="kar_section"/>
      </w:pPr>
      <w:r>
        <w:t xml:space="preserve">Section 1.</w:t>
      </w:r>
      <w:r>
        <w:t xml:space="preserve"> </w:t>
      </w:r>
      <w:r>
        <w:t xml:space="preserve">The school lunch period, if a part of a closed schedule, shall allow adequate time for each child to take care of his personal hygiene and enjoy a complete meal in an educational setting and the school breakfast period shall be a part of the school day that also allows adequate time for each child to enjoy a complete breakfast.</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43; 696; eff. 3-12-1975; Recodified from 703 KAR 1:060, 10-5-1984; 17 Ky.R. 2045; eff. 2-7-1991;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febe82bc434d36" /><Relationship Type="http://schemas.openxmlformats.org/officeDocument/2006/relationships/settings" Target="/word/settings.xml" Id="R66f7ead0e398441a" /></Relationships>
</file>