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9b339298a744bc" /></Relationships>
</file>

<file path=word/document.xml><?xml version="1.0" encoding="utf-8"?>
<w:document xmlns:w="http://schemas.openxmlformats.org/wordprocessingml/2006/main">
  <w:body>
    <w:p>
      <w:pPr>
        <w:pStyle w:val="kar_citation"/>
      </w:pPr>
      <w:r>
        <w:t>704 KAR 8:040.</w:t>
      </w:r>
      <w:r>
        <w:t xml:space="preserve"> </w:t>
      </w:r>
      <w:r>
        <w:t xml:space="preserve">Required Academic Standards for Mathematics.</w:t>
      </w:r>
    </w:p>
    <w:p>
      <w:pPr>
        <w:pStyle w:val="kar_markup_metadata"/>
      </w:pPr>
      <w:r>
        <w:t xml:space="preserve">RELATES TO: </w:t>
      </w:r>
      <w:r>
        <w:t xml:space="preserve">KRS 156.070, 156.160, 158.6451, 158.6453, 160.290</w:t>
      </w:r>
    </w:p>
    <w:p>
      <w:pPr>
        <w:pStyle w:val="kar_markup_metadata"/>
      </w:pPr>
      <w:r>
        <w:t xml:space="preserve">STATUTORY AUTHORITY: </w:t>
      </w:r>
      <w:r>
        <w:t xml:space="preserve">156.070, 156.160, 158.6453(2)</w:t>
      </w:r>
    </w:p>
    <w:p>
      <w:pPr>
        <w:pStyle w:val="kar_markup_metadata"/>
      </w:pPr>
      <w:r>
        <w:t xml:space="preserve">NECESSITY, FUNCTION, AND CONFORMITY: </w:t>
      </w:r>
      <w:r>
        <w:t xml:space="preserve">KRS 156.070 requires the Kentucky Board of Education to establish courses of study for the different grades and kinds of common schools, with the courses of study to comply with the expected goals, outcomes, and assessment strategies developed under KRS 158.645, 158.6451, and 158.6453. KRS 156.070(1) requires the Kentucky Board of Education to manage and control the common schools and all programs operated in the schools. KRS 160.290 authorizes local boards of education to provide for courses and other services for students consistent with the administrative regulations of the Kentucky Board of Education. KRS 158.6453(2) requires the Kentucky Department of Education to implement a comprehensive process for the review of academic standards and assessment with the advice of a standards and assessments review and development committee assigned to focus on mathematics. This administrative regulation incorporates by reference the Kentucky Academic Standards for Mathematics, which contain the general courses of study and academic content standards for mathematics for use in Kentucky's common schools.</w:t>
      </w:r>
    </w:p>
    <w:p>
      <w:pPr>
        <w:pStyle w:val="kar_section"/>
      </w:pPr>
      <w:r>
        <w:t xml:space="preserve">Section 1.</w:t>
      </w:r>
      <w:r>
        <w:t xml:space="preserve"> </w:t>
      </w:r>
      <w:r>
        <w:t xml:space="preserve">Before graduating from a Kentucky public high school, a student shall meet the minimum content requirements established in the Kentucky Academic Standards for Mathematics.</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The "Kentucky Academic Standards for Mathematics", October 2018, is incorporated by reference.</w:t>
      </w:r>
    </w:p>
    <w:p>
      <w:pPr>
        <w:pStyle w:val="kar_subsection"/>
      </w:pPr>
      <w:r>
        <w:t xml:space="preserve">(2)</w:t>
      </w:r>
      <w:r>
        <w:t xml:space="preserve"> </w:t>
      </w:r>
      <w:r>
        <w:t xml:space="preserve">This material may be inspected, copied, or obtained, subject to applicable copyright law, at the Department of Education, 5th floor, 300 Sower Boulevard, Frankfort, Kentucky 40601, Monday through Friday, 8:00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1476, 2350; eff. 3-8-2019; Crt eff. 3-27-2025.)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8bf46600c774f3f" /><Relationship Type="http://schemas.openxmlformats.org/officeDocument/2006/relationships/settings" Target="/word/settings.xml" Id="R8c6af46619004737" /></Relationships>
</file>