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5db641a9bd4a4f" /></Relationships>
</file>

<file path=word/document.xml><?xml version="1.0" encoding="utf-8"?>
<w:document xmlns:w="http://schemas.openxmlformats.org/wordprocessingml/2006/main">
  <w:body>
    <w:p>
      <w:pPr>
        <w:pStyle w:val="kar_citation"/>
      </w:pPr>
      <w:r>
        <w:t>704 KAR 8:110.</w:t>
      </w:r>
      <w:r>
        <w:t xml:space="preserve"> </w:t>
      </w:r>
      <w:r>
        <w:t xml:space="preserve">Kentucky Academic Standards for World Language.</w:t>
      </w:r>
    </w:p>
    <w:p>
      <w:pPr>
        <w:pStyle w:val="kar_markup_metadata"/>
      </w:pPr>
      <w:r>
        <w:t xml:space="preserve">RELATES TO: </w:t>
      </w:r>
      <w:r>
        <w:t xml:space="preserve">KRS 156.070, 156.160, 158.645, 158.6451, 158.6453(18), 160.290</w:t>
      </w:r>
    </w:p>
    <w:p>
      <w:pPr>
        <w:pStyle w:val="kar_markup_metadata"/>
      </w:pPr>
      <w:r>
        <w:t xml:space="preserve">STATUTORY AUTHORITY: </w:t>
      </w:r>
      <w:r>
        <w:t xml:space="preserve">156.070, 156.160, 158.6453(18), 160.290</w:t>
      </w:r>
    </w:p>
    <w:p>
      <w:pPr>
        <w:pStyle w:val="kar_markup_metadata"/>
      </w:pPr>
      <w:r>
        <w:t xml:space="preserve">NECESSITY, FUNCTION, AND CONFORMITY: </w:t>
      </w:r>
      <w:r>
        <w:t xml:space="preserve">KRS 156.070(1) requires the Kentucky Board of Education to manage and control the common schools and all programs operated in the schools. 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158.6453(18) requires the Kentucky Department of Education to implement a process for the review and revision of academic standards with the advice of a review committee. KRS 160.290 authorizes local boards of education to provide for courses and other services for students consistent with the administrative regulations of the Kentucky Board of Education. This administrative regulation incorporates by reference the Kentucky Academic Standards for World Language, which contain the general courses of study and academic content standards of world language for use in Kentucky's common schools.</w:t>
      </w:r>
    </w:p>
    <w:p>
      <w:pPr>
        <w:pStyle w:val="kar_section"/>
      </w:pPr>
      <w:r>
        <w:t xml:space="preserve">Section 1.</w:t>
      </w:r>
      <w:r>
        <w:t xml:space="preserve"> </w:t>
      </w:r>
      <w:r>
        <w:t xml:space="preserve">Public schools offering a world language course or program shall meet the minimum content requirements established in the Kentucky Academic Standards for World Language.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World Language", December 2020,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1508, 1960;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4abcdd1c444738" /><Relationship Type="http://schemas.openxmlformats.org/officeDocument/2006/relationships/settings" Target="/word/settings.xml" Id="R5c9534ceeb964c77" /></Relationships>
</file>