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6781faac21d4350" /></Relationships>
</file>

<file path=word/document.xml><?xml version="1.0" encoding="utf-8"?>
<w:document xmlns:w="http://schemas.openxmlformats.org/wordprocessingml/2006/main">
  <w:body>
    <w:p>
      <w:pPr>
        <w:pStyle w:val="kar_citation"/>
      </w:pPr>
      <w:r>
        <w:t>740 KAR 1:060.</w:t>
      </w:r>
      <w:r>
        <w:t xml:space="preserve"> </w:t>
      </w:r>
      <w:r>
        <w:t xml:space="preserve">Contracting for capital construction projects.</w:t>
      </w:r>
    </w:p>
    <w:p>
      <w:pPr>
        <w:pStyle w:val="kar_markup_metadata"/>
      </w:pPr>
      <w:r>
        <w:t xml:space="preserve">RELATES TO: </w:t>
      </w:r>
      <w:r>
        <w:t xml:space="preserve">KRS 164A.585, 164A.590, 164A.595, 164A.600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permits governing boards of public institutions of higher education to elect to perform financial management functions per KRS 164A.555 to 164A.630 by issuing administrative regulations to do so. This administrative regulation implements the provisions of KRS 164A.585 at the University of Louisville.</w:t>
      </w:r>
    </w:p>
    <w:p>
      <w:pPr>
        <w:pStyle w:val="kar_section"/>
      </w:pPr>
      <w:r>
        <w:t xml:space="preserve">Section 1.</w:t>
      </w:r>
      <w:r>
        <w:t xml:space="preserve"> </w:t>
      </w:r>
      <w:r>
        <w:t xml:space="preserve">The University of Louisville Board of Trustees, under the provisions of KRS 164A.560, elects to manage and administer capital construction projects in accordance with 164A.585, 164A.590, 164A.595, and 164A.600.</w:t>
      </w:r>
    </w:p>
    <w:p>
      <w:pPr>
        <w:pStyle w:val="kar_history"/>
        <w:sectPr>
          <w:pgSz w:w="12240" w:h="15840" w:orient="portrait" w:code="1"/>
          <w:pgMar w:top="1080" w:right="1080" w:bottom="1080" w:left="1080" w:header="720" w:footer="720" w:gutter="0"/>
          <w:paperSrc w:first="263" w:other="263"/>
          <w:noEndnote/>
          <w:docGrid w:linePitch="218"/>
        </w:sectPr>
      </w:pPr>
      <w:r>
        <w:t xml:space="preserve">(9 Ky.R. 524; eff. 11-3-82; Am. 18 Ky.R. 2386; eff. 3-4-92; Crt eff. 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e1122da7d547d3" /><Relationship Type="http://schemas.openxmlformats.org/officeDocument/2006/relationships/settings" Target="/word/settings.xml" Id="Rb14875b0e472479b" /></Relationships>
</file>