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c3504dd7fc48e3" /></Relationships>
</file>

<file path=word/document.xml><?xml version="1.0" encoding="utf-8"?>
<w:document xmlns:w="http://schemas.openxmlformats.org/wordprocessingml/2006/main">
  <w:body>
    <w:p>
      <w:pPr>
        <w:pStyle w:val="kar_citation"/>
      </w:pPr>
      <w:r>
        <w:t>745 KAR 1:045.</w:t>
      </w:r>
      <w:r>
        <w:t xml:space="preserve"> </w:t>
      </w:r>
      <w:r>
        <w:t xml:space="preserve">Bond issue.</w:t>
      </w:r>
    </w:p>
    <w:p>
      <w:pPr>
        <w:pStyle w:val="kar_markup_metadata"/>
      </w:pPr>
      <w:r>
        <w:t xml:space="preserve">RELATES TO: </w:t>
      </w:r>
      <w:r>
        <w:t xml:space="preserve">KRS 164A.605</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the governing board of each public institution of higher education to elect to perform financial management functions in accordance with KRS 164A.555 to 164A.630 by issuing administrative regulations to do so. This administrative regulation implements the provision of KRS 164A.605 at Kentucky State University.</w:t>
      </w:r>
    </w:p>
    <w:p>
      <w:pPr>
        <w:pStyle w:val="kar_section"/>
      </w:pPr>
      <w:r>
        <w:t xml:space="preserve">Section 1.</w:t>
      </w:r>
      <w:r>
        <w:t xml:space="preserve"> </w:t>
      </w:r>
      <w:r>
        <w:t xml:space="preserve">The Board of Regents of Kentucky State University, under the provisions of KRS 164A.560, elects the authority to issue bonds subject to the conditions as set forth in KRS 164A.605.</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3071; Am. 3453; eff. 6-7-91;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919f6e8b44f95" /><Relationship Type="http://schemas.openxmlformats.org/officeDocument/2006/relationships/settings" Target="/word/settings.xml" Id="Rbeb0a1e74d8e4a21" /></Relationships>
</file>