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b62d7fceff4d9c" /></Relationships>
</file>

<file path=word/document.xml><?xml version="1.0" encoding="utf-8"?>
<w:document xmlns:w="http://schemas.openxmlformats.org/wordprocessingml/2006/main">
  <w:body>
    <w:p>
      <w:pPr>
        <w:pStyle w:val="kar_citation"/>
      </w:pPr>
      <w:r>
        <w:t>760 KAR 1:060.</w:t>
      </w:r>
      <w:r>
        <w:t xml:space="preserve"> </w:t>
      </w:r>
      <w:r>
        <w:t xml:space="preserve">Fund for excellence.</w:t>
      </w:r>
    </w:p>
    <w:p>
      <w:pPr>
        <w:pStyle w:val="kar_markup_metadata"/>
      </w:pPr>
      <w:r>
        <w:t xml:space="preserve">RELATES TO: </w:t>
      </w:r>
      <w:r>
        <w:t xml:space="preserve">KRS 164.410, 164A.620</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vests the responsibility with the governing board of a public institution of higher education to elect to perform financial management functions in accordance with KRS 164A.555 to 164A.630 by issuing administrative regulations. It also permits the board to delegate these responsibilities to an institution official. The function of this administrative regulation shall be to implement the provisions of KRS 164A.620 at Northern Kentucky University.</w:t>
      </w:r>
    </w:p>
    <w:p>
      <w:pPr>
        <w:pStyle w:val="kar_section"/>
      </w:pPr>
      <w:r>
        <w:t xml:space="preserve">Section 1.</w:t>
      </w:r>
      <w:r>
        <w:t xml:space="preserve"> </w:t>
      </w:r>
      <w:r>
        <w:t xml:space="preserve">The Northern Kentucky University Board of Regents authorizes the establishment of a fund for excellence pursuant to KRS 164A.620.</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1271; Am. 1542; eff. 1-4-93.)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91bde8e33f4ea8" /><Relationship Type="http://schemas.openxmlformats.org/officeDocument/2006/relationships/settings" Target="/word/settings.xml" Id="R67b2ab388abc40d9" /></Relationships>
</file>