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0bba72c00e4198" /></Relationships>
</file>

<file path=word/document.xml><?xml version="1.0" encoding="utf-8"?>
<w:document xmlns:w="http://schemas.openxmlformats.org/wordprocessingml/2006/main">
  <w:body>
    <w:p>
      <w:pPr>
        <w:pStyle w:val="kar_citation"/>
      </w:pPr>
      <w:r>
        <w:t>780 KAR 6:005.</w:t>
      </w:r>
      <w:r>
        <w:t xml:space="preserve"> </w:t>
      </w:r>
      <w:r>
        <w:t xml:space="preserve">Unclassified service administrative regulation.</w:t>
      </w:r>
    </w:p>
    <w:p>
      <w:pPr>
        <w:pStyle w:val="kar_markup_metadata"/>
      </w:pPr>
      <w:r>
        <w:t xml:space="preserve">RELATES TO: </w:t>
      </w:r>
      <w:r>
        <w:t xml:space="preserve">KRS 18A.375,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151B.035(11) requires the executive director of the Office of Career and Technical Education to promulgate administrative regulations governing the unclassified service. This administrative regulation establishes requirements relating to requirements for unclassified service in the Office of Career and Technical Education.</w:t>
      </w:r>
    </w:p>
    <w:p>
      <w:pPr>
        <w:pStyle w:val="kar_section"/>
      </w:pPr>
      <w:r>
        <w:t xml:space="preserve">Section 1.</w:t>
      </w:r>
      <w:r>
        <w:t xml:space="preserve"> </w:t>
      </w:r>
      <w:r>
        <w:t xml:space="preserve">Workplace Violence Policy.</w:t>
      </w:r>
    </w:p>
    <w:p>
      <w:pPr>
        <w:pStyle w:val="kar_subsection"/>
      </w:pPr>
      <w:r>
        <w:t xml:space="preserve">(1)</w:t>
      </w:r>
      <w:r>
        <w:t xml:space="preserve"> </w:t>
      </w:r>
      <w:r>
        <w:t xml:space="preserve">Workplace violence shall be prohibited and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resembles a weapon in a manner which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 as defined by KRS 508.130;</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which create a risk to the health or safety of a state employee or a member of the general public, or threatens or intimidates a state employee or a member of the general public.</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2.</w:t>
      </w:r>
      <w:r>
        <w:t xml:space="preserve"> </w:t>
      </w:r>
      <w:r>
        <w:t xml:space="preserve">Kentucky Employee Assistance Program (KEAP). An employee in the unclassified service covered by KRS Chapter 151B may participate in the Kentucky Employee Assistance Program as established in 101 KAR 2:160.</w:t>
      </w:r>
    </w:p>
    <w:p>
      <w:pPr>
        <w:pStyle w:val="kar_section"/>
      </w:pPr>
      <w:r>
        <w:t xml:space="preserve">Section 3.</w:t>
      </w:r>
      <w:r>
        <w:t xml:space="preserve"> </w:t>
      </w:r>
      <w:r>
        <w:t xml:space="preserve">Issuance of Paychecks to State Employees.</w:t>
      </w:r>
    </w:p>
    <w:p>
      <w:pPr>
        <w:pStyle w:val="kar_subsection"/>
      </w:pPr>
      <w:r>
        <w:t xml:space="preserve">(1)</w:t>
      </w:r>
      <w:r>
        <w:t xml:space="preserve"> </w:t>
      </w:r>
      <w:r>
        <w:t xml:space="preserve">Except as provided in subsection (2) or (3) of this section, a paycheck shall be issued to a state employee on the 15th and 30th day of each month.</w:t>
      </w:r>
    </w:p>
    <w:p>
      <w:pPr>
        <w:pStyle w:val="kar_subsection"/>
      </w:pPr>
      <w:r>
        <w:t xml:space="preserve">(2)</w:t>
      </w:r>
      <w:r>
        <w:t xml:space="preserve"> </w:t>
      </w:r>
      <w:r>
        <w:t xml:space="preserve">If the regularly scheduled pay date falls on a weekend, a paycheck shall be issued on the preceding Friday.</w:t>
      </w:r>
    </w:p>
    <w:p>
      <w:pPr>
        <w:pStyle w:val="kar_subsection"/>
      </w:pPr>
      <w:r>
        <w:t xml:space="preserve">(3)</w:t>
      </w:r>
      <w:r>
        <w:t xml:space="preserve"> </w:t>
      </w:r>
      <w:r>
        <w:t xml:space="preserve">If the regularly scheduled pay date falls on a state designated holiday, a paycheck shall be issued on the workday preceding the holiday.</w:t>
      </w:r>
    </w:p>
    <w:p>
      <w:pPr>
        <w:pStyle w:val="kar_section"/>
      </w:pPr>
      <w:r>
        <w:t xml:space="preserve">Section 4.</w:t>
      </w:r>
      <w:r>
        <w:t xml:space="preserve"> </w:t>
      </w:r>
      <w:r>
        <w:t xml:space="preserve">Workers' Compensation Fund and Program. An employee in the unclassified service shall be covered under the Self-insured Worker's Compensation Fund and Program established by KRS 18A.375 and 101 KAR 2:140.</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006:005. 26 Ky.R. 2159; 27 Ky.R. 108; eff. 7-17-2000; 35 Ky.R. 1882; 2242;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52a3d1020d4684" /><Relationship Type="http://schemas.openxmlformats.org/officeDocument/2006/relationships/settings" Target="/word/settings.xml" Id="R618a588be82d4820" /></Relationships>
</file>