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27899f94f4c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7:040.</w:t>
      </w:r>
      <w:r>
        <w:t xml:space="preserve"> </w:t>
      </w:r>
      <w:r>
        <w:t xml:space="preserve">Facility maintenance.</w:t>
      </w:r>
    </w:p>
    <w:p>
      <w:pPr>
        <w:pStyle w:val="kar_markup_metadata"/>
      </w:pPr>
      <w:r>
        <w:t xml:space="preserve">RELATES TO: </w:t>
      </w:r>
      <w:r>
        <w:t xml:space="preserve">KRS 151B.025(3), 151B.150</w:t>
      </w:r>
    </w:p>
    <w:p>
      <w:pPr>
        <w:pStyle w:val="kar_markup_metadata"/>
      </w:pPr>
      <w:r>
        <w:t xml:space="preserve">STATUTORY AUTHORITY: </w:t>
      </w:r>
      <w:r>
        <w:t xml:space="preserve">KRS 151B.025(3)</w:t>
      </w:r>
    </w:p>
    <w:p>
      <w:pPr>
        <w:pStyle w:val="kar_markup_metadata"/>
      </w:pPr>
      <w:r>
        <w:t xml:space="preserve">NECESSITY, FUNCTION, AND CONFORMITY: </w:t>
      </w:r>
      <w:r>
        <w:t xml:space="preserve">KRS 151B.025(3) gives the Office of Career and Technical Education the responsibility for all administrative functions of the state in relation to the management, control, and operation of state-operated secondary area technology centers. This administrative regulation establishes requirements for the maintenance of state-operated secondary area technology centers.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area technology center owned by a local board of education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Be maintained in accordance with 705 KAR 3:141;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Expend at a minimum the share of funds awarded to the local board through the SEEK funds earmarked in the Kentucky Department of Education's budget for the operation of state-operated secondary area technology centers programs in state-operated facilities.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(780 KAR 007:040. 17 Ky.R. 762; eff. 10-14-1990; 22 Ky.R. 380; 739; eff. 10-5-1995; 26 Ky.R. 2328; 27 Ky.R. 966; eff. 10-16-2000; 35 Ky.R. 1907; eff. 5-1-2009; Crt eff. 11-16-2018; Crt eff. 10-2-2025.)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e94b01faf84b48" /><Relationship Type="http://schemas.openxmlformats.org/officeDocument/2006/relationships/settings" Target="/word/settings.xml" Id="R9f112793435840c6" /></Relationships>
</file>