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c780c1e2854eeb" /></Relationships>
</file>

<file path=word/document.xml><?xml version="1.0" encoding="utf-8"?>
<w:document xmlns:w="http://schemas.openxmlformats.org/wordprocessingml/2006/main">
  <w:body>
    <w:p>
      <w:pPr>
        <w:pStyle w:val="kar_citation"/>
      </w:pPr>
      <w:r>
        <w:t>787 KAR 1:020.</w:t>
      </w:r>
      <w:r>
        <w:t xml:space="preserve"> </w:t>
      </w:r>
      <w:r>
        <w:t xml:space="preserve">Change of status; discontinuance of business.</w:t>
      </w:r>
    </w:p>
    <w:p>
      <w:pPr>
        <w:pStyle w:val="kar_markup_metadata"/>
      </w:pPr>
      <w:r>
        <w:t xml:space="preserve">RELATES TO: </w:t>
      </w:r>
      <w:r>
        <w:t xml:space="preserve">KRS 341.070, 341.115</w:t>
      </w:r>
    </w:p>
    <w:p>
      <w:pPr>
        <w:pStyle w:val="kar_markup_metadata"/>
      </w:pPr>
      <w:r>
        <w:t xml:space="preserve">STATUTORY AUTHORITY: </w:t>
      </w:r>
      <w:r>
        <w:t xml:space="preserve">KRS 151B.020, 341.115</w:t>
      </w:r>
    </w:p>
    <w:p>
      <w:pPr>
        <w:pStyle w:val="kar_markup_metadata"/>
      </w:pPr>
      <w:r>
        <w:t xml:space="preserve">NECESSITY, FUNCTION, AND CONFORMITY: </w:t>
      </w:r>
      <w:r>
        <w:t xml:space="preserve">KRS 341.115(1) authorizes the secretary to promulgate administrative regulations necessary to administer KRS Chapter 341. This administrative regulation establishes the requirement for subject employers to notify the division of any change of ownership or control of their business.</w:t>
      </w:r>
    </w:p>
    <w:p>
      <w:pPr>
        <w:pStyle w:val="kar_section"/>
      </w:pPr>
      <w:r>
        <w:t xml:space="preserve">Section 1.</w:t>
      </w:r>
      <w:r>
        <w:t xml:space="preserve"> </w:t>
      </w:r>
      <w:r>
        <w:t xml:space="preserve">A subject employer shall notify the Division of Unemployment Insurance within fifteen (15) days of any change in ownership or control of his business, whether in whole or in part, or of the discontinuance of the business.</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454; eff. 11-6-95; 33 Ky.R. 2163; 3178; eff. 5-4-2007.)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05aaed47884cce" /><Relationship Type="http://schemas.openxmlformats.org/officeDocument/2006/relationships/settings" Target="/word/settings.xml" Id="R970ab3bc5a7d428e" /></Relationships>
</file>