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379e27212e44f2" /></Relationships>
</file>

<file path=word/document.xml><?xml version="1.0" encoding="utf-8"?>
<w:document xmlns:w="http://schemas.openxmlformats.org/wordprocessingml/2006/main">
  <w:body>
    <w:p>
      <w:pPr>
        <w:pStyle w:val="kar_citation"/>
      </w:pPr>
      <w:r>
        <w:t>787 KAR 1:120.</w:t>
      </w:r>
      <w:r>
        <w:t xml:space="preserve"> </w:t>
      </w:r>
      <w:r>
        <w:t xml:space="preserve">Fees for representing claimant.</w:t>
      </w:r>
    </w:p>
    <w:p>
      <w:pPr>
        <w:pStyle w:val="kar_markup_metadata"/>
      </w:pPr>
      <w:r>
        <w:t xml:space="preserve">RELATES TO: </w:t>
      </w:r>
      <w:r>
        <w:t xml:space="preserve">KRS 341.115</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This administrative regulation sets the maximum fee that may be charged for representing a claimant.</w:t>
      </w:r>
    </w:p>
    <w:p>
      <w:pPr>
        <w:pStyle w:val="kar_section"/>
      </w:pPr>
      <w:r>
        <w:t xml:space="preserve">Section 1.</w:t>
      </w:r>
      <w:r>
        <w:t xml:space="preserve"> </w:t>
      </w:r>
      <w:r>
        <w:t xml:space="preserve">The fee to be charged for representing a claimant in any proceeding before a referee, the commission, or any court, or all three (3) shall not exceed twenty (20) percent of the maximum amount of potential benefits payable with respect to the claim under adjudication.</w:t>
      </w:r>
    </w:p>
    <w:p>
      <w:pPr>
        <w:pStyle w:val="kar_section"/>
      </w:pPr>
      <w:r>
        <w:t xml:space="preserve">Section 2.</w:t>
      </w:r>
      <w:r>
        <w:t xml:space="preserve"> </w:t>
      </w:r>
      <w:r>
        <w:t xml:space="preserve">The fee agreed to by the claimant and his representative, if within the maximum established in Section 1 of this administrative regulation, shall be deemed to have been approved by the commission.</w:t>
      </w:r>
    </w:p>
    <w:p>
      <w:pPr>
        <w:pStyle w:val="kar_section"/>
      </w:pPr>
      <w:r>
        <w:t xml:space="preserve">Section 3.</w:t>
      </w:r>
      <w:r>
        <w:t xml:space="preserve"> </w:t>
      </w:r>
      <w:r>
        <w:t xml:space="preserve">Enforcement of payment of the fee shall be a matter entirely between the counsel or agent and the claimant. The fee shall not be deducted, either in whole or in part, from the benefit checks otherwise due and payable to the claimant.</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471; eff. 11-6-95;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c1d9cf7a4f4cc2" /><Relationship Type="http://schemas.openxmlformats.org/officeDocument/2006/relationships/settings" Target="/word/settings.xml" Id="R4e261c1ae689459e" /></Relationships>
</file>