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6c56207eb44fe7" /></Relationships>
</file>

<file path=word/document.xml><?xml version="1.0" encoding="utf-8"?>
<w:document xmlns:w="http://schemas.openxmlformats.org/wordprocessingml/2006/main">
  <w:body>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 </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w:t>
            </w:r>
            <w:r>
              <w:t xml:space="preserve">Service</w:t>
            </w:r>
          </w:p>
        </w:tc>
        <w:tc>
          <w:tcPr/>
          <w:p>
            <w:pPr>
              <w:pStyle w:val="kar_table_cell"/>
            </w:pPr>
            <w:r>
              <w:t xml:space="preserve">Maximum</w:t>
            </w:r>
            <w:r>
              <w:t xml:space="preserve">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w:t>
            </w:r>
            <w:r>
              <w:t xml:space="preserve">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w:t>
            </w:r>
            <w:r>
              <w:t xml:space="preserve">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w:t>
            </w:r>
            <w:r>
              <w:t xml:space="preserve">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p>
    <w:p>
      <w:pPr>
        <w:pStyle w:val="kar_subparagraph"/>
      </w:pPr>
      <w:r>
        <w:t xml:space="preserve">1.</w:t>
      </w:r>
      <w:r>
        <w:t xml:space="preserve"> </w:t>
      </w:r>
      <w:r>
        <w:t xml:space="preserve">If an employee is separated by proper resignation or retirement,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6, or who has submitted notice of resignation or retirement after receiving an intent to dismiss letter.</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The election to receive compensatory leave in lieu of paid overtime shall be in writing on the Overtime Compensation Form and shall remain in force for a minimum of three (3) months. The election shall be changed by the submission of a new form. The effective date of a change shall be the first day of the next work week following receipt of the election.</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 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an allegation of employee misconduct.</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four (4) months of the occurrence of the absence. If it is not made up within four (4) months,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261; Am. 569; eff. 8-25-99; 1991; 27 Ky.R. 61; eff. 7-17-2000; 28 Ky.R. 1172; 1603; eff. 1-14-2002; 36 Ky.R. 416; 1002; eff. 12-4-2009; TAm eff. 5-4-2010; 38 Ky.R. 484; eff. 9-28-11; 38 Ky.R. 1171; eff. 7-6-2012; 39 Ky.R. 2365; 40 Ky.R. 261; eff. 9-6-13; 41 Ky.R. 2113; 2538; eff. 7-6-2015; 46 Ky.R. 558, 1080;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676cbe32e04125" /><Relationship Type="http://schemas.openxmlformats.org/officeDocument/2006/relationships/settings" Target="/word/settings.xml" Id="R281269a6ffb94983" /></Relationships>
</file>