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554f70aad0249b7" /></Relationships>
</file>

<file path=word/document.xml><?xml version="1.0" encoding="utf-8"?>
<w:document xmlns:w="http://schemas.openxmlformats.org/wordprocessingml/2006/main">
  <w:body>
    <w:p>
      <w:pPr>
        <w:pStyle w:val="kar_citation"/>
      </w:pPr>
      <w:r>
        <w:t>803 KAR 2:309.</w:t>
      </w:r>
      <w:r>
        <w:t xml:space="preserve"> </w:t>
      </w:r>
      <w:r>
        <w:t xml:space="preserve">General environmental controls.</w:t>
      </w:r>
    </w:p>
    <w:p>
      <w:pPr>
        <w:pStyle w:val="kar_markup_metadata"/>
      </w:pPr>
      <w:r>
        <w:t xml:space="preserve">RELATES TO: </w:t>
      </w:r>
      <w:r>
        <w:t xml:space="preserve">KRS 338.051(3), 338.061, 29 C.F.R. 1910.141-1910.147</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"C.F.R." means Code of Federal Regulations.</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"Standard" means "occupational safety and health standard" as defined by KRS 338.015(3).</w:t>
      </w:r>
    </w:p>
    <w:p>
      <w:pPr>
        <w:pStyle w:val="kar_section"/>
      </w:pPr>
      <w:r>
        <w:t xml:space="preserve">Section 2.</w:t>
      </w:r>
      <w:r>
        <w:t xml:space="preserve"> </w:t>
      </w:r>
      <w:r>
        <w:t xml:space="preserve">Except as established by Section 3 of this administrative regulation, general industry shall comply with 29 C.F.R. 1910, Subpart J, General Environmental Controls, published by the Office of the Federal Register, National Archives and Records Services, General Services Administration.</w:t>
      </w:r>
    </w:p>
    <w:p>
      <w:pPr>
        <w:pStyle w:val="kar_section"/>
      </w:pPr>
      <w:r>
        <w:t xml:space="preserve">Section 3.</w:t>
      </w:r>
      <w:r>
        <w:t xml:space="preserve"> </w:t>
      </w:r>
    </w:p>
    <w:p>
      <w:pPr>
        <w:pStyle w:val="kar_subsection"/>
      </w:pPr>
      <w:r>
        <w:t xml:space="preserve">(1)</w:t>
      </w:r>
      <w:r>
        <w:t xml:space="preserve"> </w:t>
      </w:r>
    </w:p>
    <w:p>
      <w:pPr>
        <w:pStyle w:val="kar_paragraph"/>
      </w:pPr>
      <w:r>
        <w:t xml:space="preserve">(a)</w:t>
      </w:r>
      <w:r>
        <w:t xml:space="preserve"> </w:t>
      </w:r>
      <w:r>
        <w:t xml:space="preserve">Lockout. The requirements in paragraph (b) of this subsection shall apply in lieu of 29 C.F.R. 1910.147(c)(2)(ii).</w:t>
      </w:r>
    </w:p>
    <w:p>
      <w:pPr>
        <w:pStyle w:val="kar_paragraph"/>
      </w:pPr>
      <w:r>
        <w:t xml:space="preserve">(b)</w:t>
      </w:r>
      <w:r>
        <w:t xml:space="preserve"> </w:t>
      </w:r>
      <w:r>
        <w:t xml:space="preserve">If an energy isolating device is capable of being locked out, the employer's energy control program under 29 C.F.R. 1910.147(c)(1) shall utilize lockout.</w:t>
      </w:r>
    </w:p>
    <w:p>
      <w:pPr>
        <w:pStyle w:val="kar_subsection"/>
      </w:pPr>
      <w:r>
        <w:t xml:space="preserve">(2)</w:t>
      </w:r>
      <w:r>
        <w:t xml:space="preserve"> </w:t>
      </w:r>
    </w:p>
    <w:p>
      <w:pPr>
        <w:pStyle w:val="kar_paragraph"/>
      </w:pPr>
      <w:r>
        <w:t xml:space="preserve">(a)</w:t>
      </w:r>
      <w:r>
        <w:t xml:space="preserve"> </w:t>
      </w:r>
      <w:r>
        <w:t xml:space="preserve">Full employee protection. The requirements in paragraphs (b) and (c) of this subsection shall apply in lieu of 29 C.F.R. 1910.147(c)(3)(i).</w:t>
      </w:r>
    </w:p>
    <w:p>
      <w:pPr>
        <w:pStyle w:val="kar_paragraph"/>
      </w:pPr>
      <w:r>
        <w:t xml:space="preserve">(b)</w:t>
      </w:r>
      <w:r>
        <w:t xml:space="preserve"> </w:t>
      </w:r>
      <w:r>
        <w:t xml:space="preserve">If a tagout device is used on an energy isolating device that is incapable of being locked out, the tagout device shall be attached at the same location that the lockout device would have been attached and the employer shall demonstrate that the tagout program shall provide a level of safety equivalent to that obtained by using a lockout program.</w:t>
      </w:r>
    </w:p>
    <w:p>
      <w:pPr>
        <w:pStyle w:val="kar_paragraph"/>
      </w:pPr>
      <w:r>
        <w:t xml:space="preserve">(c)</w:t>
      </w:r>
      <w:r>
        <w:t xml:space="preserve"> </w:t>
      </w:r>
      <w:r>
        <w:t xml:space="preserve">If a tagout device is used with an energy isolating device that is incapable of being locked out, the tagout device shall be fastened at the same point at which the lock would have been attached.</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692; eff. 12-15-1989; Am. 1698; 2138; eff. 4-12-1990; 17 Ky.R. 3509; eff. 8-2-91; 20 Ky.R. 640; eff. 11-8-93; 2693; eff. 5-11-94; 21 Ky.R. 112; eff. 9-12-94; 23 Ky.R. 1708; eff. 12-13-96; 25 Ky.R. 2443; eff. 6-16-99; 26 Ky.R. 651; 1007; eff. 11-15-99; 32 KAR 546; 871; eff. 12-2-2005; 33 Ky.R. 1717; 2300; eff. 3-9-07; 35 Ky.R. 1296; 1756; eff. 3-6-09; 38 Ky.R. 99; 597; eff. 10-7-11; 38 Ky.R. 2021; eff. 8-31-2012; 40 Ky.R. 2830; eff. 9-5-2014; 47 Ky.R. 1626, 2374;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8c9cab7aa04704" /><Relationship Type="http://schemas.openxmlformats.org/officeDocument/2006/relationships/settings" Target="/word/settings.xml" Id="Rf370bbb8f8364e94" /></Relationships>
</file>