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c6adec3d564313" /></Relationships>
</file>

<file path=word/document.xml><?xml version="1.0" encoding="utf-8"?>
<w:document xmlns:w="http://schemas.openxmlformats.org/wordprocessingml/2006/main">
  <w:body>
    <w:p>
      <w:pPr>
        <w:pStyle w:val="kar_citation"/>
      </w:pPr>
      <w:r>
        <w:t>803 KAR 2:318.</w:t>
      </w:r>
      <w:r>
        <w:t xml:space="preserve"> </w:t>
      </w:r>
      <w:r>
        <w:t xml:space="preserve">Electrical.</w:t>
      </w:r>
    </w:p>
    <w:p>
      <w:pPr>
        <w:pStyle w:val="kar_markup_metadata"/>
      </w:pPr>
      <w:r>
        <w:t xml:space="preserve">RELATES TO: </w:t>
      </w:r>
      <w:r>
        <w:t xml:space="preserve">KRS 338.051, 338.061, 29 C.F.R. 1910.301-1910.399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29 C.F.R. 1910.301-1910.399 establishes the federal requirements relating to electrical safety. This administrative regulation establishes electrical safety standards to be enforced by the Division of Occupational Safety and Health Compliance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of the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p>
    <w:p>
      <w:pPr>
        <w:pStyle w:val="kar_subsection"/>
      </w:pPr>
      <w:r>
        <w:t xml:space="preserve">(1)</w:t>
      </w:r>
      <w:r>
        <w:t xml:space="preserve"> </w:t>
      </w:r>
      <w:r>
        <w:t xml:space="preserve">General industry shall comply with the following federal regulations published by the Office of the Federal Register, National Archives and Records Services, General Services Administration, except as modified by the definitions established in Section 1 and the requirements in Section 3 of this administrative regulation:</w:t>
      </w:r>
    </w:p>
    <w:p>
      <w:pPr>
        <w:pStyle w:val="kar_paragraph"/>
      </w:pPr>
      <w:r>
        <w:t xml:space="preserve">(a)</w:t>
      </w:r>
      <w:r>
        <w:t xml:space="preserve"> </w:t>
      </w:r>
      <w:r>
        <w:t xml:space="preserve">29 C.F.R. 1910.301 through 29 C.F.R. 1910.399, and Appendices, revised July 1, 2015; and</w:t>
      </w:r>
    </w:p>
    <w:p>
      <w:pPr>
        <w:pStyle w:val="kar_paragraph"/>
      </w:pPr>
      <w:r>
        <w:t xml:space="preserve">(b)</w:t>
      </w:r>
      <w:r>
        <w:t xml:space="preserve"> </w:t>
      </w:r>
      <w:r>
        <w:t xml:space="preserve">The amendments to 29 C.F.R. 1910.331 as published in the October 5, 2015 Federal Register, Volume 80, Number 192.</w:t>
      </w:r>
    </w:p>
    <w:p>
      <w:pPr>
        <w:pStyle w:val="kar_subsection"/>
      </w:pPr>
      <w:r>
        <w:t xml:space="preserve">(2)</w:t>
      </w:r>
      <w:r>
        <w:t xml:space="preserve"> </w:t>
      </w:r>
      <w:r>
        <w:t xml:space="preserve">The term "may not" as used in the federal regulations shall be considered a prohibition.</w:t>
      </w:r>
    </w:p>
    <w:p>
      <w:pPr>
        <w:pStyle w:val="kar_section"/>
      </w:pPr>
      <w:r>
        <w:t xml:space="preserve">Section 3.</w:t>
      </w:r>
      <w:r>
        <w:t xml:space="preserve"> </w:t>
      </w:r>
      <w:r>
        <w:t xml:space="preserve">29 C.F.R. 1910.333(b)(2)(iii)(C) is amended to read as follows: "If a lock cannot be applied, tagging procedures shall provide a level of safety equivalent to that obtained by the use of a lock, as outlined in paragraph (b)(2)(iii)(D)."</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700; eff. 12-15-1989; Am. 20 Ky.R. 2700; eff. 5-11-1994; 23 Ky.R. 1724; eff. 12-13-1996; 31 Ky.R. 1595; 1818; eff. 5-26-2005; 33 Ky.R. 3053; 3378; eff. 6-1-2007; 37 Ky.R. 1053; eff.1-3-2011; TAm eff. 9-8-2011; 40 Ky.R. 2837; eff. 9-5-2014; 42 Ky.R. 2960; eff. 9-2-2016.)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4f2531cb74e40" /><Relationship Type="http://schemas.openxmlformats.org/officeDocument/2006/relationships/settings" Target="/word/settings.xml" Id="Rc8a4e11046f049e7" /></Relationships>
</file>